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bookmarkStart w:id="0" w:name="_GoBack"/>
      <w:bookmarkEnd w:id="0"/>
    </w:p>
    <w:sectPr w:rsidR="007A7E45" w:rsidRPr="00FE4B89" w:rsidSect="00F91724">
      <w:headerReference w:type="default" r:id="rId7"/>
      <w:footerReference w:type="default" r:id="rId8"/>
      <w:type w:val="continuous"/>
      <w:pgSz w:w="11906" w:h="16838"/>
      <w:pgMar w:top="851" w:right="851" w:bottom="851" w:left="851" w:header="709" w:footer="709" w:gutter="0"/>
      <w:cols w:space="708"/>
      <w:docGrid w:linePitch="360"/>
    </w:sectPr>
    <w:p>
      <w:pPr>
        <w:jc w:val="left"/>
        <w:pStyle w:val="Heading2"/>
      </w:pPr>
      <w:r>
        <w:rPr>
          <w:rFonts w:hAnsi="Times New Roman" w:cs="Times New Roman"/>
        </w:rPr>
        <w:t xml:space="preserve">02021 Stručna služba Savjeta za nacionalne manjine</w:t>
      </w:r>
    </w:p>
    <w:p>
      <w:pPr>
        <w:jc w:val="both"/>
        <w:pStyle w:val="Normal3"/>
      </w:pPr>
      <w:r>
        <w:rPr>
          <w:rFonts w:hAnsi="Times New Roman" w:cs="Times New Roman"/>
        </w:rPr>
        <w:t xml:space="preserve">Savjet za nacionalne manjine u cilju ostvarivanja i zaštite prava i sloboda nacionalnih manjina u Republici Hrvatskoj propisanim Ustavnim zakonom o pravima nacionalnih manjina, osigurava sredstva iz državnog proračuna Republike Hrvatske za potpore udrugama i ustanovama nacionalnih manjina za ostvarivanje programa kulturne autonomije nacionalnih manjina i to za programe informiranja i izdavaštva, kulturnog amaterizma, kulturnih manifestacija, programa koji proizlaze iz bilateralnih sporazuma i programa stvaranja pretpostavki za ostvarivanje kulturne autonomije nacionalnih manjina.  
</w:t>
      </w:r>
    </w:p>
    <w:p>
      <w:pPr>
        <w:jc w:val="both"/>
        <w:pStyle w:val="Normal3"/>
      </w:pPr>
      <w:r>
        <w:rPr>
          <w:rFonts w:hAnsi="Times New Roman" w:cs="Times New Roman"/>
        </w:rPr>
        <w:t xml:space="preserve">Stručna služba Savjeta za nacionalne manjine na zahtjev Savjeta za nacionalne manjine raspisuje jednom godišnje javni poziv za prijavu programa kulturne autonomije udruga i ustanova nacionalnih manjina.  
</w:t>
      </w:r>
    </w:p>
    <w:p>
      <w:pPr>
        <w:jc w:val="both"/>
        <w:pStyle w:val="Normal3"/>
      </w:pPr>
      <w:r>
        <w:rPr>
          <w:rFonts w:hAnsi="Times New Roman" w:cs="Times New Roman"/>
        </w:rPr>
        <w:t xml:space="preserve">Kroz naredno trogodišnje razdoblje, kao i do sada, Savjet za nacionalne manjine će:  
</w:t>
      </w:r>
    </w:p>
    <w:p>
      <w:pPr>
        <w:jc w:val="both"/>
        <w:pStyle w:val="Normal3"/>
      </w:pPr>
      <w:r>
        <w:rPr>
          <w:rFonts w:hAnsi="Times New Roman" w:cs="Times New Roman"/>
        </w:rPr>
        <w:t xml:space="preserve">- surađivati u pitanjima od interesa za nacionalne manjine u Republici Hrvatskoj s nadležnim tijelima međunarodnih organizacija i institucija koje se bave pitanjima nacionalnih manjina, kao i s nadležnim tijelima matičnih država pripadnika nacionalnih manjina u Republici Hrvatskoj  
</w:t>
      </w:r>
    </w:p>
    <w:p>
      <w:pPr>
        <w:jc w:val="both"/>
        <w:pStyle w:val="Normal3"/>
      </w:pPr>
      <w:r>
        <w:rPr>
          <w:rFonts w:hAnsi="Times New Roman" w:cs="Times New Roman"/>
        </w:rPr>
        <w:t xml:space="preserve">- predlagati poduzimanje gospodarskih, socijalnih i drugih mjera na područjima tradicionalno ili u znatnijem broju nastanjenim pripadnicima nacionalnih manjina kako bi se očuvalo njihovo postojanje na tim područjima  
</w:t>
      </w:r>
    </w:p>
    <w:p>
      <w:pPr>
        <w:jc w:val="both"/>
        <w:pStyle w:val="Normal3"/>
      </w:pPr>
      <w:r>
        <w:rPr>
          <w:rFonts w:hAnsi="Times New Roman" w:cs="Times New Roman"/>
        </w:rPr>
        <w:t xml:space="preserve">- analizirati učinke ostvarivanja pojedinih prava pripadnika nacionalnih manjina u školstvu, dvojezičnosti, informiranja, korištenju simbola i ostale probleme u ostvarivanju prava pripadnika nacionalnih manjina  
</w:t>
      </w:r>
    </w:p>
    <w:p>
      <w:pPr>
        <w:jc w:val="both"/>
        <w:pStyle w:val="Normal3"/>
      </w:pPr>
      <w:r>
        <w:rPr>
          <w:rFonts w:hAnsi="Times New Roman" w:cs="Times New Roman"/>
        </w:rPr>
        <w:t xml:space="preserve">- davati suglasnost na odluke koordinacija vijeća nacionalnih manjina jedinica područne (regionalne) samouprave o odlukama o znamenju i simbolima nacionalnih manjina i načinu obilježavanja praznika nacionalnih manjina  
</w:t>
      </w:r>
    </w:p>
    <w:p>
      <w:pPr>
        <w:jc w:val="both"/>
        <w:pStyle w:val="Normal3"/>
      </w:pPr>
      <w:r>
        <w:rPr>
          <w:rFonts w:hAnsi="Times New Roman" w:cs="Times New Roman"/>
        </w:rPr>
        <w:t xml:space="preserve">- davati mišljenja, prijedloge, analizirati programe javnih radiopostaja i javne televizije namijenjenih nacionalnim manjinama, o zastupljenosti pitanja namijenjenih nacionalnim manjinama u programima javnih radiopostaja i javne televizije i drugim sredstvima priopćavanja.  
</w:t>
      </w:r>
    </w:p>
    <w:p>
      <w:pPr>
        <w:jc w:val="both"/>
        <w:pStyle w:val="Normal3"/>
      </w:pPr>
      <w:r>
        <w:rPr>
          <w:rFonts w:hAnsi="Times New Roman" w:cs="Times New Roman"/>
        </w:rPr>
        <w:t xml:space="preserve"> 
</w:t>
      </w:r>
    </w:p>
    <w:p>
      <w:pPr>
        <w:jc w:val="both"/>
        <w:pStyle w:val="Normal3"/>
      </w:pPr>
      <w:r>
        <w:rPr>
          <w:rFonts w:hAnsi="Times New Roman" w:cs="Times New Roman"/>
        </w:rPr>
        <w:t xml:space="preserve">U administrativnom dijelu, Stručna služba Savjeta obavljat će sljedeće poslove kroz naredno trogodišnje razdoblje:  
</w:t>
      </w:r>
    </w:p>
    <w:p>
      <w:pPr>
        <w:jc w:val="both"/>
        <w:pStyle w:val="Normal3"/>
      </w:pPr>
      <w:r>
        <w:rPr>
          <w:rFonts w:hAnsi="Times New Roman" w:cs="Times New Roman"/>
        </w:rPr>
        <w:t xml:space="preserve">- davanje mišljenja na zakone i propise tijela kojima se uređuje područje manjinskih prava i sloboda te mišljenja stručnim nositeljima izrade na prijedloge operativnih i strateških planova koji se odnose na zaštitu i promicanje ljudskih prava i prava nacionalnih manjina  
</w:t>
      </w:r>
    </w:p>
    <w:p>
      <w:pPr>
        <w:jc w:val="both"/>
        <w:pStyle w:val="Normal3"/>
      </w:pPr>
      <w:r>
        <w:rPr>
          <w:rFonts w:hAnsi="Times New Roman" w:cs="Times New Roman"/>
        </w:rPr>
        <w:t xml:space="preserve">- periodična izvješća Savjeta stručnim nositeljima izrade o provedbi strateških i operativnih planova i njihovim učincima na ostvarivanje prava manjina (npr. Izvješća pučkom pravobranitelju o pojavama diskriminacije, Izvješća Uredu za ljudska prava i prava nacionalnih manjina o provedbi Ustavnog zakona o pravima nacionalnih manjina)  
</w:t>
      </w:r>
    </w:p>
    <w:p>
      <w:pPr>
        <w:jc w:val="both"/>
        <w:pStyle w:val="Normal3"/>
      </w:pPr>
      <w:r>
        <w:rPr>
          <w:rFonts w:hAnsi="Times New Roman" w:cs="Times New Roman"/>
        </w:rPr>
        <w:t xml:space="preserve">- poslove vezane uz davanje suglasnosti na odluke koordinacija vijeća nacionalnih manjina jedinica područne (regionalne) samouprave o odlukama o znamenju i simbolima te načinu obilježavanja praznika nacionalnih manjina
</w:t>
      </w:r>
    </w:p>
    <w:p>
      <w:pPr>
        <w:jc w:val="both"/>
        <w:pStyle w:val="Normal3"/>
      </w:pPr>
      <w:r>
        <w:rPr>
          <w:rFonts w:hAnsi="Times New Roman" w:cs="Times New Roman"/>
        </w:rPr>
        <w:t xml:space="preserve">- dostavu obavijesti i odgovora na upite koordinacija nacionalnih manjina, vijeća i predstavnika nacionalnih manjina vezanih uz ostvarivanje manjinskih prava i sloboda i sudjelovanje manjina u javnom životu i upravljanju lokalnim poslovima  
</w:t>
      </w:r>
    </w:p>
    <w:p>
      <w:pPr>
        <w:jc w:val="both"/>
        <w:pStyle w:val="Normal3"/>
      </w:pPr>
      <w:r>
        <w:rPr>
          <w:rFonts w:hAnsi="Times New Roman" w:cs="Times New Roman"/>
        </w:rPr>
        <w:t xml:space="preserve">- pripremu sjednica Savjeta te izradu zapisnika sjednica, zaključaka i odluka Savjeta  
</w:t>
      </w:r>
    </w:p>
    <w:p>
      <w:pPr>
        <w:jc w:val="both"/>
        <w:pStyle w:val="Normal3"/>
      </w:pPr>
      <w:r>
        <w:rPr>
          <w:rFonts w:hAnsi="Times New Roman" w:cs="Times New Roman"/>
        </w:rPr>
        <w:t xml:space="preserve">- poslove koji prethode raspisivanju javnog poziva za predlaganje programa za ostvarivanje kulturne autonomije iz područja informiranja i izdavaštva, kulturnog amaterizma i manifestacija te programa koji proizlaze iz bilateralnih sporazuma i ugovora  
</w:t>
      </w:r>
    </w:p>
    <w:p>
      <w:pPr>
        <w:jc w:val="both"/>
        <w:pStyle w:val="Normal3"/>
      </w:pPr>
      <w:r>
        <w:rPr>
          <w:rFonts w:hAnsi="Times New Roman" w:cs="Times New Roman"/>
        </w:rPr>
        <w:t xml:space="preserve">- izradu obrazaca natječajne dokumentacije i obrazaca za izvješća o radu i izvršenju odobrenih programa s financijskim izvješćem  
</w:t>
      </w:r>
    </w:p>
    <w:p>
      <w:pPr>
        <w:jc w:val="both"/>
        <w:pStyle w:val="Normal3"/>
      </w:pPr>
      <w:r>
        <w:rPr>
          <w:rFonts w:hAnsi="Times New Roman" w:cs="Times New Roman"/>
        </w:rPr>
        <w:t xml:space="preserve">- pripremu dokumentacije o osnivanju, utvrđivanju nadležnosti i imenovanju članova povjerenstva za raspodjelu sredstava udrugama i ustanovama nacionalnih manjina za ostvarivanje programa kulturne autonomije te izradu zapisnika sjednica povjerenstva 
</w:t>
      </w:r>
    </w:p>
    <w:p>
      <w:pPr>
        <w:jc w:val="both"/>
        <w:pStyle w:val="Normal3"/>
      </w:pPr>
      <w:r>
        <w:rPr>
          <w:rFonts w:hAnsi="Times New Roman" w:cs="Times New Roman"/>
        </w:rPr>
        <w:t xml:space="preserve">- rješavanje prigovora udruga i ustanova čije prijave programa ne ispunjavaju propisane uvjete javnog poziva  
</w:t>
      </w:r>
    </w:p>
    <w:p>
      <w:pPr>
        <w:jc w:val="both"/>
        <w:pStyle w:val="Normal3"/>
      </w:pPr>
      <w:r>
        <w:rPr>
          <w:rFonts w:hAnsi="Times New Roman" w:cs="Times New Roman"/>
        </w:rPr>
        <w:t xml:space="preserve">- pravnu i nomotehničku pripremu prijedloga odluka o rasporedu sredstava koja se u državnom proračunu osiguravaju za ostvarivanje programa kulturne autonomije nacionalnih manjina  
</w:t>
      </w:r>
    </w:p>
    <w:p>
      <w:pPr>
        <w:jc w:val="both"/>
        <w:pStyle w:val="Normal3"/>
      </w:pPr>
      <w:r>
        <w:rPr>
          <w:rFonts w:hAnsi="Times New Roman" w:cs="Times New Roman"/>
        </w:rPr>
        <w:t xml:space="preserve">- pripremu ugovora, i po potrebi predugovora, o financijskoj potpori programa iz sredstava državnog proračuna  
</w:t>
      </w:r>
    </w:p>
    <w:p>
      <w:pPr>
        <w:jc w:val="both"/>
        <w:pStyle w:val="Normal3"/>
      </w:pPr>
      <w:r>
        <w:rPr>
          <w:rFonts w:hAnsi="Times New Roman" w:cs="Times New Roman"/>
        </w:rPr>
        <w:t xml:space="preserve">- izradu očitovanja na upite o raspoređivanju sredstava koja se u državnom proračunu osiguravaju za potrebe nacionalnih manjina, kao i na prigovore na rad tijela državne uprave, udruga, ustanova i manjinskih organizacija vezane uz ostvarivanje i zaštitu prava manjina  
</w:t>
      </w:r>
    </w:p>
    <w:p>
      <w:pPr>
        <w:jc w:val="both"/>
        <w:pStyle w:val="Normal3"/>
      </w:pPr>
      <w:r>
        <w:rPr>
          <w:rFonts w:hAnsi="Times New Roman" w:cs="Times New Roman"/>
        </w:rPr>
        <w:t xml:space="preserve">- kontrolu polugodišnjih, kvartalnih i godišnjih izvješća udruga i ustanova nacionalnih manjina  
</w:t>
      </w:r>
    </w:p>
    <w:p>
      <w:pPr>
        <w:jc w:val="both"/>
        <w:pStyle w:val="Normal3"/>
      </w:pPr>
      <w:r>
        <w:rPr>
          <w:rFonts w:hAnsi="Times New Roman" w:cs="Times New Roman"/>
        </w:rPr>
        <w:t xml:space="preserve">- izradu godišnjih izvješća Savjeta o ostvarivanju programa kulturne autonomije i utrošku proračunskih sredstava doznačenih udrugama i ustanovama manjina  
</w:t>
      </w:r>
    </w:p>
    <w:p>
      <w:pPr>
        <w:jc w:val="both"/>
        <w:pStyle w:val="Normal3"/>
      </w:pPr>
      <w:r>
        <w:rPr>
          <w:rFonts w:hAnsi="Times New Roman" w:cs="Times New Roman"/>
        </w:rPr>
        <w:t xml:space="preserve">- organizaciju seminara, okruglih stolova i drugih programa edukacije nevladinih udruga i ustanova nacionalnih manjina  
</w:t>
      </w:r>
    </w:p>
    <w:p>
      <w:pPr>
        <w:jc w:val="both"/>
        <w:pStyle w:val="Normal3"/>
      </w:pPr>
      <w:r>
        <w:rPr>
          <w:rFonts w:hAnsi="Times New Roman" w:cs="Times New Roman"/>
        </w:rPr>
        <w:t xml:space="preserve">- provedbu terenskih izvida udruga i ustanova radi kontrole rada i namjenskog utroška sredstava dodijeljenih putem Savjeta  
</w:t>
      </w:r>
    </w:p>
    <w:p>
      <w:pPr>
        <w:jc w:val="both"/>
        <w:pStyle w:val="Normal3"/>
      </w:pPr>
      <w:r>
        <w:rPr>
          <w:rFonts w:hAnsi="Times New Roman" w:cs="Times New Roman"/>
        </w:rPr>
        <w:t xml:space="preserve">- dostavu i pripremu podataka za unutarnju reviziju i za obavljanje pojedinačnih unutarnjih revizija 
</w:t>
      </w:r>
    </w:p>
    <w:p>
      <w:pPr>
        <w:jc w:val="both"/>
        <w:pStyle w:val="Normal3"/>
      </w:pPr>
      <w:r>
        <w:rPr>
          <w:rFonts w:hAnsi="Times New Roman" w:cs="Times New Roman"/>
        </w:rPr>
        <w:t xml:space="preserve">- dostavu i pripremu zatraženih podataka Uredu za opće poslove Hrvatskoga sabora i Vlade Republike Hrvatske  
</w:t>
      </w:r>
    </w:p>
    <w:p>
      <w:pPr>
        <w:jc w:val="both"/>
        <w:pStyle w:val="Normal3"/>
      </w:pPr>
      <w:r>
        <w:rPr>
          <w:rFonts w:hAnsi="Times New Roman" w:cs="Times New Roman"/>
        </w:rPr>
        <w:t xml:space="preserve">- izradu upita prema dobavljačima i izradu zahtjevnica  
</w:t>
      </w:r>
    </w:p>
    <w:p>
      <w:pPr>
        <w:jc w:val="both"/>
        <w:pStyle w:val="Normal3"/>
      </w:pPr>
      <w:r>
        <w:rPr>
          <w:rFonts w:hAnsi="Times New Roman" w:cs="Times New Roman"/>
        </w:rPr>
        <w:t xml:space="preserve">- praćenje utroška sredstava prema dobavljačima i udrugama za tekuće donacije te poslove vezane uz povrat sredstava u državni proračun  
</w:t>
      </w:r>
    </w:p>
    <w:p>
      <w:pPr>
        <w:jc w:val="both"/>
        <w:pStyle w:val="Normal3"/>
      </w:pPr>
      <w:r>
        <w:rPr>
          <w:rFonts w:hAnsi="Times New Roman" w:cs="Times New Roman"/>
        </w:rPr>
        <w:t xml:space="preserve">- poslove oko naplate prema bjanko zadužnicama.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02021-Stručna služba Savjeta za nacionalne manjine</w:t>
            </w:r>
          </w:p>
        </w:tc>
        <w:tc>
          <w:tcPr>
            <w:tcW w:w="1632.96" w:type="dxa"/>
            <w:vAlign w:val="center"/>
          </w:tcPr>
          <w:p>
            <w:pPr>
              <w:jc w:val="both"/>
              <w:pStyle w:val="CellColumn"/>
            </w:pPr>
            <w:r>
              <w:rPr>
                <w:rFonts w:hAnsi="Times New Roman" w:cs="Times New Roman"/>
              </w:rPr>
              <w:t xml:space="preserve">10.592.916</w:t>
            </w:r>
          </w:p>
        </w:tc>
        <w:tc>
          <w:tcPr>
            <w:tcW w:w="1632.96" w:type="dxa"/>
            <w:vAlign w:val="center"/>
          </w:tcPr>
          <w:p>
            <w:pPr>
              <w:jc w:val="both"/>
              <w:pStyle w:val="CellColumn"/>
            </w:pPr>
            <w:r>
              <w:rPr>
                <w:rFonts w:hAnsi="Times New Roman" w:cs="Times New Roman"/>
              </w:rPr>
              <w:t xml:space="preserve">12.408.584</w:t>
            </w:r>
          </w:p>
        </w:tc>
        <w:tc>
          <w:tcPr>
            <w:tcW w:w="1632.96" w:type="dxa"/>
            <w:vAlign w:val="center"/>
          </w:tcPr>
          <w:p>
            <w:pPr>
              <w:jc w:val="both"/>
              <w:pStyle w:val="CellColumn"/>
            </w:pPr>
            <w:r>
              <w:rPr>
                <w:rFonts w:hAnsi="Times New Roman" w:cs="Times New Roman"/>
              </w:rPr>
              <w:t xml:space="preserve">13.835.294</w:t>
            </w:r>
          </w:p>
        </w:tc>
        <w:tc>
          <w:tcPr>
            <w:tcW w:w="1632.96" w:type="dxa"/>
            <w:vAlign w:val="center"/>
          </w:tcPr>
          <w:p>
            <w:pPr>
              <w:jc w:val="both"/>
              <w:pStyle w:val="CellColumn"/>
            </w:pPr>
            <w:r>
              <w:rPr>
                <w:rFonts w:hAnsi="Times New Roman" w:cs="Times New Roman"/>
              </w:rPr>
              <w:t xml:space="preserve">13.791.392</w:t>
            </w:r>
          </w:p>
        </w:tc>
        <w:tc>
          <w:tcPr>
            <w:tcW w:w="1632.96" w:type="dxa"/>
            <w:vAlign w:val="center"/>
          </w:tcPr>
          <w:p>
            <w:pPr>
              <w:jc w:val="both"/>
              <w:pStyle w:val="CellColumn"/>
            </w:pPr>
            <w:r>
              <w:rPr>
                <w:rFonts w:hAnsi="Times New Roman" w:cs="Times New Roman"/>
              </w:rPr>
              <w:t xml:space="preserve">13.782.591</w:t>
            </w:r>
          </w:p>
        </w:tc>
        <w:tc>
          <w:tcPr>
            <w:tcW w:w="510.3" w:type="dxa"/>
            <w:vAlign w:val="center"/>
          </w:tcPr>
          <w:p>
            <w:pPr>
              <w:jc w:val="both"/>
              <w:pStyle w:val="CellColumn"/>
            </w:pPr>
            <w:r>
              <w:rPr>
                <w:rFonts w:hAnsi="Times New Roman" w:cs="Times New Roman"/>
              </w:rPr>
              <w:t xml:space="preserve">111,5</w:t>
            </w:r>
          </w:p>
        </w:tc>
      </w:tr>
    </w:tbl>
    <w:p>
      <w:pPr>
        <w:jc w:val="left"/>
      </w:pPr>
      <w:r>
        <w:rPr>
          <w:rFonts w:hAnsi="Times New Roman" w:cs="Times New Roman"/>
        </w:rPr>
        <w:t xml:space="preserve"/>
      </w:r>
    </w:p>
    <w:p>
      <w:pPr>
        <w:jc w:val="left"/>
        <w:pStyle w:val="Heading3"/>
      </w:pPr>
      <w:r>
        <w:rPr>
          <w:rFonts w:hAnsi="Times New Roman" w:cs="Times New Roman"/>
        </w:rPr>
        <w:t xml:space="preserve">2109 ZAŠTITA PRAVA NACIONALNIH MANJINA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2109-ZAŠTITA PRAVA NACIONALNIH MANJINA</w:t>
            </w:r>
          </w:p>
        </w:tc>
        <w:tc>
          <w:tcPr>
            <w:tcW w:w="1632.96" w:type="dxa"/>
            <w:vAlign w:val="center"/>
          </w:tcPr>
          <w:p>
            <w:pPr>
              <w:jc w:val="both"/>
              <w:pStyle w:val="CellColumn"/>
            </w:pPr>
            <w:r>
              <w:rPr>
                <w:rFonts w:hAnsi="Times New Roman" w:cs="Times New Roman"/>
              </w:rPr>
              <w:t xml:space="preserve">10.592.916</w:t>
            </w:r>
          </w:p>
        </w:tc>
        <w:tc>
          <w:tcPr>
            <w:tcW w:w="1632.96" w:type="dxa"/>
            <w:vAlign w:val="center"/>
          </w:tcPr>
          <w:p>
            <w:pPr>
              <w:jc w:val="both"/>
              <w:pStyle w:val="CellColumn"/>
            </w:pPr>
            <w:r>
              <w:rPr>
                <w:rFonts w:hAnsi="Times New Roman" w:cs="Times New Roman"/>
              </w:rPr>
              <w:t xml:space="preserve">12.408.584</w:t>
            </w:r>
          </w:p>
        </w:tc>
        <w:tc>
          <w:tcPr>
            <w:tcW w:w="1632.96" w:type="dxa"/>
            <w:vAlign w:val="center"/>
          </w:tcPr>
          <w:p>
            <w:pPr>
              <w:jc w:val="both"/>
              <w:pStyle w:val="CellColumn"/>
            </w:pPr>
            <w:r>
              <w:rPr>
                <w:rFonts w:hAnsi="Times New Roman" w:cs="Times New Roman"/>
              </w:rPr>
              <w:t xml:space="preserve">13.835.294</w:t>
            </w:r>
          </w:p>
        </w:tc>
        <w:tc>
          <w:tcPr>
            <w:tcW w:w="1632.96" w:type="dxa"/>
            <w:vAlign w:val="center"/>
          </w:tcPr>
          <w:p>
            <w:pPr>
              <w:jc w:val="both"/>
              <w:pStyle w:val="CellColumn"/>
            </w:pPr>
            <w:r>
              <w:rPr>
                <w:rFonts w:hAnsi="Times New Roman" w:cs="Times New Roman"/>
              </w:rPr>
              <w:t xml:space="preserve">13.791.392</w:t>
            </w:r>
          </w:p>
        </w:tc>
        <w:tc>
          <w:tcPr>
            <w:tcW w:w="1632.96" w:type="dxa"/>
            <w:vAlign w:val="center"/>
          </w:tcPr>
          <w:p>
            <w:pPr>
              <w:jc w:val="both"/>
              <w:pStyle w:val="CellColumn"/>
            </w:pPr>
            <w:r>
              <w:rPr>
                <w:rFonts w:hAnsi="Times New Roman" w:cs="Times New Roman"/>
              </w:rPr>
              <w:t xml:space="preserve">13.782.591</w:t>
            </w:r>
          </w:p>
        </w:tc>
        <w:tc>
          <w:tcPr>
            <w:tcW w:w="510.3" w:type="dxa"/>
            <w:vAlign w:val="center"/>
          </w:tcPr>
          <w:p>
            <w:pPr>
              <w:jc w:val="both"/>
              <w:pStyle w:val="CellColumn"/>
            </w:pPr>
            <w:r>
              <w:rPr>
                <w:rFonts w:hAnsi="Times New Roman" w:cs="Times New Roman"/>
              </w:rPr>
              <w:t xml:space="preserve">111,5</w:t>
            </w:r>
          </w:p>
        </w:tc>
      </w:tr>
    </w:tbl>
    <w:p>
      <w:pPr>
        <w:jc w:val="left"/>
      </w:pPr>
      <w:r>
        <w:rPr>
          <w:rFonts w:hAnsi="Times New Roman" w:cs="Times New Roman"/>
        </w:rPr>
        <w:t xml:space="preserve"/>
      </w:r>
    </w:p>
    <w:p>
      <w:pPr>
        <w:jc w:val="left"/>
        <w:pStyle w:val="Heading7"/>
      </w:pPr>
      <w:r>
        <w:rPr>
          <w:rFonts w:hAnsi="Times New Roman" w:cs="Times New Roman"/>
        </w:rPr>
        <w:t xml:space="preserve">Cilj 1. Ostvarivanje i unaprjeđivanje prava nacionalnih manjina za kulturnom autonomijom </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Osigurana potpuna primjena operativnih planova Vlade Republike Hrvatske za programe nacionalnih manjina koji se odnose na kulturnu autonomiju</w:t>
            </w:r>
          </w:p>
        </w:tc>
        <w:tc>
          <w:tcPr>
            <w:tcW w:w="2245.32" w:type="dxa"/>
            <w:vAlign w:val="center"/>
          </w:tcPr>
          <w:p>
            <w:pPr>
              <w:jc w:val="both"/>
              <w:pStyle w:val="CellColumn"/>
            </w:pPr>
            <w:r>
              <w:rPr>
                <w:rFonts w:hAnsi="Times New Roman" w:cs="Times New Roman"/>
              </w:rPr>
              <w:t xml:space="preserve">Osigurana potpuna primjena operativnih planova pridonijet će realizaciji programa kulturne autonomije u skladu s kriterijima za raspored sredstava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93</w:t>
            </w:r>
          </w:p>
        </w:tc>
        <w:tc>
          <w:tcPr>
            <w:tcW w:w="918.54" w:type="dxa"/>
            <w:vAlign w:val="center"/>
          </w:tcPr>
          <w:p>
            <w:pPr>
              <w:jc w:val="both"/>
              <w:pStyle w:val="CellColumn"/>
            </w:pPr>
            <w:r>
              <w:rPr>
                <w:rFonts w:hAnsi="Times New Roman" w:cs="Times New Roman"/>
              </w:rPr>
              <w:t xml:space="preserve">Izvješća o utrošku sredstava i ostvarivanju programa;  
</w:t>
            </w:r>
          </w:p>
          <w:p>
            <w:pPr>
              <w:jc w:val="both"/>
              <w:pStyle w:val="CellColumn"/>
            </w:pPr>
            <w:r>
              <w:rPr>
                <w:rFonts w:hAnsi="Times New Roman" w:cs="Times New Roman"/>
              </w:rPr>
              <w:t xml:space="preserve">Odluka o rasporedu sredstava</w:t>
            </w:r>
          </w:p>
        </w:tc>
        <w:tc>
          <w:tcPr>
            <w:tcW w:w="918.54" w:type="dxa"/>
            <w:vAlign w:val="center"/>
          </w:tcPr>
          <w:p>
            <w:pPr>
              <w:jc w:val="both"/>
              <w:pStyle w:val="CellColumn"/>
            </w:pPr>
            <w:r>
              <w:rPr>
                <w:rFonts w:hAnsi="Times New Roman" w:cs="Times New Roman"/>
              </w:rPr>
              <w:t xml:space="preserve">93</w:t>
            </w:r>
          </w:p>
        </w:tc>
        <w:tc>
          <w:tcPr>
            <w:tcW w:w="918.54" w:type="dxa"/>
            <w:vAlign w:val="center"/>
          </w:tcPr>
          <w:p>
            <w:pPr>
              <w:jc w:val="both"/>
              <w:pStyle w:val="CellColumn"/>
            </w:pPr>
            <w:r>
              <w:rPr>
                <w:rFonts w:hAnsi="Times New Roman" w:cs="Times New Roman"/>
              </w:rPr>
              <w:t xml:space="preserve">94</w:t>
            </w:r>
          </w:p>
        </w:tc>
        <w:tc>
          <w:tcPr>
            <w:tcW w:w="918.54" w:type="dxa"/>
            <w:vAlign w:val="center"/>
          </w:tcPr>
          <w:p>
            <w:pPr>
              <w:jc w:val="both"/>
              <w:pStyle w:val="CellColumn"/>
            </w:pPr>
            <w:r>
              <w:rPr>
                <w:rFonts w:hAnsi="Times New Roman" w:cs="Times New Roman"/>
              </w:rPr>
              <w:t xml:space="preserve">94</w:t>
            </w:r>
          </w:p>
        </w:tc>
      </w:tr>
    </w:tbl>
    <w:p>
      <w:pPr>
        <w:jc w:val="left"/>
      </w:pPr>
      <w:r>
        <w:rPr>
          <w:rFonts w:hAnsi="Times New Roman" w:cs="Times New Roman"/>
        </w:rPr>
        <w:t xml:space="preserve"/>
      </w:r>
    </w:p>
    <w:p>
      <w:pPr>
        <w:jc w:val="left"/>
        <w:pStyle w:val="Heading4"/>
      </w:pPr>
      <w:r>
        <w:rPr>
          <w:rFonts w:hAnsi="Times New Roman" w:cs="Times New Roman"/>
        </w:rPr>
        <w:t xml:space="preserve">A732002 KULTURNO STVARALAŠTVO NACIONALNIH MANJINA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Ustavni zakon o pravima nacionalnih manjina 
</w:t>
      </w:r>
    </w:p>
    <w:p>
      <w:pPr>
        <w:jc w:val="both"/>
        <w:pStyle w:val="Normal5"/>
      </w:pPr>
      <w:r>
        <w:rPr>
          <w:rFonts w:hAnsi="Times New Roman" w:cs="Times New Roman"/>
        </w:rPr>
        <w:t xml:space="preserve">Okvirna konvencija za zaštitu nacionalnih manjina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A732002-KULTURNO STVARALAŠTVO NACIONALNIH MANJINA</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220.601</w:t>
            </w:r>
          </w:p>
        </w:tc>
        <w:tc>
          <w:tcPr>
            <w:tcW w:w="1632.96" w:type="dxa"/>
            <w:vAlign w:val="center"/>
          </w:tcPr>
          <w:p>
            <w:pPr>
              <w:jc w:val="both"/>
              <w:pStyle w:val="CellColumn"/>
            </w:pPr>
            <w:r>
              <w:rPr>
                <w:rFonts w:hAnsi="Times New Roman" w:cs="Times New Roman"/>
              </w:rPr>
              <w:t xml:space="preserve">225.601</w:t>
            </w:r>
          </w:p>
        </w:tc>
        <w:tc>
          <w:tcPr>
            <w:tcW w:w="1632.96" w:type="dxa"/>
            <w:vAlign w:val="center"/>
          </w:tcPr>
          <w:p>
            <w:pPr>
              <w:jc w:val="both"/>
              <w:pStyle w:val="CellColumn"/>
            </w:pPr>
            <w:r>
              <w:rPr>
                <w:rFonts w:hAnsi="Times New Roman" w:cs="Times New Roman"/>
              </w:rPr>
              <w:t xml:space="preserve">225.601</w:t>
            </w:r>
          </w:p>
        </w:tc>
        <w:tc>
          <w:tcPr>
            <w:tcW w:w="1632.96" w:type="dxa"/>
            <w:vAlign w:val="center"/>
          </w:tcPr>
          <w:p>
            <w:pPr>
              <w:jc w:val="both"/>
              <w:pStyle w:val="CellColumn"/>
            </w:pPr>
            <w:r>
              <w:rPr>
                <w:rFonts w:hAnsi="Times New Roman" w:cs="Times New Roman"/>
              </w:rPr>
              <w:t xml:space="preserve">225.601</w:t>
            </w:r>
          </w:p>
        </w:tc>
        <w:tc>
          <w:tcPr>
            <w:tcW w:w="510.3" w:type="dxa"/>
            <w:vAlign w:val="center"/>
          </w:tcPr>
          <w:p>
            <w:pPr>
              <w:jc w:val="both"/>
              <w:pStyle w:val="CellColumn"/>
            </w:pPr>
            <w:r>
              <w:rPr>
                <w:rFonts w:hAnsi="Times New Roman" w:cs="Times New Roman"/>
              </w:rPr>
              <w:t xml:space="preserve">102,3</w:t>
            </w:r>
          </w:p>
        </w:tc>
      </w:tr>
    </w:tbl>
    <w:p>
      <w:pPr>
        <w:jc w:val="left"/>
      </w:pPr>
      <w:r>
        <w:rPr>
          <w:rFonts w:hAnsi="Times New Roman" w:cs="Times New Roman"/>
        </w:rPr>
        <w:t xml:space="preserve"/>
      </w:r>
    </w:p>
    <w:p>
      <w:pPr>
        <w:jc w:val="both"/>
        <w:pStyle w:val="Normal"/>
      </w:pPr>
      <w:r>
        <w:rPr>
          <w:rFonts w:hAnsi="Times New Roman" w:cs="Times New Roman"/>
        </w:rPr>
        <w:t xml:space="preserve">Manifestacija Večer nacionalnih manjina je utemeljena 1998. godine, u suradnji s udrugama nacionalnih manjina, te je tijekom 11 godina održavanja poprimila tradicionalni karakter. S obzirom na izniman značaj ove manifestacije u Republici Hrvatskoj, a i šire, kao i na doprinos nacionalnih manjina kulturnom i inom bogatstvu Republike Hrvatske, ponovo se pokreće organizacija ove godišnje multimanjinske manifestacije. Održavanje se planira u studenome u Koncertnoj dvorani Vatroslav Lisinski u Zagrebu, a okupit će više stotina amaterskih izvođača pripadnika nacionalnih manjina. Cilj manifestacije je poticanje amaterskog stvaralaštva nacionalnih manjina te očuvanje kulture, jezika i običaja nacionalnih manjina. 
</w:t>
      </w:r>
    </w:p>
    <w:p>
      <w:pPr>
        <w:jc w:val="both"/>
        <w:pStyle w:val="Normal"/>
      </w:pPr>
      <w:r>
        <w:rPr>
          <w:rFonts w:hAnsi="Times New Roman" w:cs="Times New Roman"/>
        </w:rPr>
        <w:t xml:space="preserve">Organizacija uključuje svake godine i partnerstvo matične zemlje jedne nacionalne manjine putem gostovanja nacionalnog ansambla te zemlje, s gostovanjem hrvatskog nacionalnog ansambla Lado. Uz sudjelovanje nacionalnog ansambla zemlje „partnera“, poziv se upućuje i premijeru te zemlje, kao i našem predsjedniku Vlade koji bi i otvorio manifestaciju. Na taj način se doprinosi i razvijanju dobrih bilateralnih i/ili susjedskih odnosa, a ujedno je prilika i za bilateralne razgovore. Time manifestacija poprima karakter međunarodnog projekta, čime se Republika Hrvatska obogaćuje i afirmira kao multikulturalno društvo u kojem manjine pridonose kulturnom i inom bogatstvu, a potiče se i reprezentativnost kulturno-amaterskog stvaralaštva nacionalnih manjina.  
</w:t>
      </w:r>
    </w:p>
    <w:p>
      <w:pPr>
        <w:jc w:val="both"/>
        <w:pStyle w:val="Normal"/>
      </w:pPr>
      <w:r>
        <w:rPr>
          <w:rFonts w:hAnsi="Times New Roman" w:cs="Times New Roman"/>
        </w:rPr>
        <w:t xml:space="preserve">Manifestacija se u 2025. godini održava pod pokroviteljstvom Vlade Republike Hrvatske, što se planira zatražiti i u sljedećim godinama. Hrvatska radiotelevizija direktno će prenositi manifestaciju u 2025. godini te se takva suradnja planira i u sljedećim godinama. Prema mogućnostima organizacije uključivali bi se i drugi dionici, primjerice Ministarstvo kulture i medija, Ministarstvo turizma i sporta i drugi. 
</w:t>
      </w:r>
    </w:p>
    <w:p>
      <w:pPr>
        <w:jc w:val="both"/>
        <w:pStyle w:val="Normal"/>
      </w:pPr>
      <w:r>
        <w:rPr>
          <w:rFonts w:hAnsi="Times New Roman" w:cs="Times New Roman"/>
        </w:rPr>
        <w:t xml:space="preserve">U okviru aktivnosti A732002 Kulturno stvaralaštvo nacionalnih manjina planirana su sredstva u iznosu 225.601,00 EUR za svaku godinu planiranja. 
</w:t>
      </w:r>
    </w:p>
    <w:p>
      <w:pPr>
        <w:jc w:val="both"/>
        <w:pStyle w:val="Normal"/>
      </w:pPr>
      <w:r>
        <w:rPr>
          <w:rFonts w:hAnsi="Times New Roman" w:cs="Times New Roman"/>
        </w:rPr>
        <w:t xml:space="preserve">U nastavku dajemo razradu planiranih sredstava po skupinama rashoda kako slijedi:  
</w:t>
      </w:r>
    </w:p>
    <w:p>
      <w:pPr>
        <w:jc w:val="both"/>
        <w:pStyle w:val="Normal"/>
      </w:pPr>
      <w:r>
        <w:rPr>
          <w:rFonts w:hAnsi="Times New Roman" w:cs="Times New Roman"/>
        </w:rPr>
        <w:t xml:space="preserve">32 Materijalni rashodi  
</w:t>
      </w:r>
    </w:p>
    <w:p>
      <w:pPr>
        <w:jc w:val="both"/>
        <w:pStyle w:val="Normal"/>
      </w:pPr>
      <w:r>
        <w:rPr>
          <w:rFonts w:hAnsi="Times New Roman" w:cs="Times New Roman"/>
        </w:rPr>
        <w:t xml:space="preserve">Planirana su sredstva u iznosu 225.540,00 EUR za svaku godinu planiranja. 
</w:t>
      </w:r>
    </w:p>
    <w:p>
      <w:pPr>
        <w:jc w:val="both"/>
        <w:pStyle w:val="Normal"/>
      </w:pPr>
      <w:r>
        <w:rPr>
          <w:rFonts w:hAnsi="Times New Roman" w:cs="Times New Roman"/>
        </w:rPr>
        <w:t xml:space="preserve">Planirana sredstva se odnose na podmirenje troškova: službenih putovanja vezanih za organizaciju manifestacije, promidžbe manifestacije (promidžbeni materijali i oglas za Večer nacionalnih manjina), najam opreme, najam koncertne dvorane u kojoj će se održati manifestacija i prijevoznih sredstava za sudionike, intelektualne usluge za poslove vezane za organizaciju manifestacije, angažman voditelja manifestacije, nastup ansambla Lado te glazbenu izvedbu, streaming, tisak pozivnica, letaka, programa i dr., troškove smještaja sudionika manifestacije, reprezentacije te troškova naknade ZAMP-u. 
</w:t>
      </w:r>
    </w:p>
    <w:p>
      <w:pPr>
        <w:jc w:val="both"/>
        <w:pStyle w:val="Normal"/>
      </w:pPr>
      <w:r>
        <w:rPr>
          <w:rFonts w:hAnsi="Times New Roman" w:cs="Times New Roman"/>
        </w:rPr>
        <w:t xml:space="preserve">34 Financijski rashodi  
</w:t>
      </w:r>
    </w:p>
    <w:p>
      <w:pPr>
        <w:jc w:val="both"/>
        <w:pStyle w:val="Normal"/>
      </w:pPr>
      <w:r>
        <w:rPr>
          <w:rFonts w:hAnsi="Times New Roman" w:cs="Times New Roman"/>
        </w:rPr>
        <w:t xml:space="preserve">Planirana su sredstva u iznosu 61,00 EUR za svaku planiranu godinu.</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pripadnika nacionalnih manjina koji sudjeluju/nastupaju na manifestaciji</w:t>
            </w:r>
          </w:p>
        </w:tc>
        <w:tc>
          <w:tcPr>
            <w:tcW w:w="2245.32" w:type="dxa"/>
            <w:vAlign w:val="center"/>
          </w:tcPr>
          <w:p>
            <w:pPr>
              <w:jc w:val="both"/>
              <w:pStyle w:val="CellColumn"/>
            </w:pPr>
            <w:r>
              <w:rPr>
                <w:rFonts w:hAnsi="Times New Roman" w:cs="Times New Roman"/>
              </w:rPr>
              <w:t xml:space="preserve">Savjet za nacionalne manjine održava godišnju manifestaciju prezentacije kulturnog stvaralaštva nacionalnih manjina na kojoj se svaka manjina predstavlja s najboljom amaterskom sekcijom</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120</w:t>
            </w:r>
          </w:p>
        </w:tc>
        <w:tc>
          <w:tcPr>
            <w:tcW w:w="918.54" w:type="dxa"/>
            <w:vAlign w:val="center"/>
          </w:tcPr>
          <w:p>
            <w:pPr>
              <w:jc w:val="both"/>
              <w:pStyle w:val="CellColumn"/>
            </w:pPr>
            <w:r>
              <w:rPr>
                <w:rFonts w:hAnsi="Times New Roman" w:cs="Times New Roman"/>
              </w:rPr>
              <w:t xml:space="preserve">Program manifestacije;
</w:t>
            </w:r>
          </w:p>
          <w:p>
            <w:pPr>
              <w:jc w:val="both"/>
              <w:pStyle w:val="CellColumn"/>
            </w:pPr>
            <w:r>
              <w:rPr>
                <w:rFonts w:hAnsi="Times New Roman" w:cs="Times New Roman"/>
              </w:rPr>
              <w:t xml:space="preserve">Popis sudionika</w:t>
            </w:r>
          </w:p>
        </w:tc>
        <w:tc>
          <w:tcPr>
            <w:tcW w:w="918.54" w:type="dxa"/>
            <w:vAlign w:val="center"/>
          </w:tcPr>
          <w:p>
            <w:pPr>
              <w:jc w:val="both"/>
              <w:pStyle w:val="CellColumn"/>
            </w:pPr>
            <w:r>
              <w:rPr>
                <w:rFonts w:hAnsi="Times New Roman" w:cs="Times New Roman"/>
              </w:rPr>
              <w:t xml:space="preserve">125</w:t>
            </w:r>
          </w:p>
        </w:tc>
        <w:tc>
          <w:tcPr>
            <w:tcW w:w="918.54" w:type="dxa"/>
            <w:vAlign w:val="center"/>
          </w:tcPr>
          <w:p>
            <w:pPr>
              <w:jc w:val="both"/>
              <w:pStyle w:val="CellColumn"/>
            </w:pPr>
            <w:r>
              <w:rPr>
                <w:rFonts w:hAnsi="Times New Roman" w:cs="Times New Roman"/>
              </w:rPr>
              <w:t xml:space="preserve">130</w:t>
            </w:r>
          </w:p>
        </w:tc>
        <w:tc>
          <w:tcPr>
            <w:tcW w:w="918.54" w:type="dxa"/>
            <w:vAlign w:val="center"/>
          </w:tcPr>
          <w:p>
            <w:pPr>
              <w:jc w:val="both"/>
              <w:pStyle w:val="CellColumn"/>
            </w:pPr>
            <w:r>
              <w:rPr>
                <w:rFonts w:hAnsi="Times New Roman" w:cs="Times New Roman"/>
              </w:rPr>
              <w:t xml:space="preserve">135</w:t>
            </w:r>
          </w:p>
        </w:tc>
      </w:tr>
    </w:tbl>
    <w:p>
      <w:pPr>
        <w:jc w:val="left"/>
      </w:pPr>
      <w:r>
        <w:rPr>
          <w:rFonts w:hAnsi="Times New Roman" w:cs="Times New Roman"/>
        </w:rPr>
        <w:t xml:space="preserve"/>
      </w:r>
    </w:p>
    <w:p>
      <w:pPr>
        <w:jc w:val="left"/>
        <w:pStyle w:val="Heading4"/>
      </w:pPr>
      <w:r>
        <w:rPr>
          <w:rFonts w:hAnsi="Times New Roman" w:cs="Times New Roman"/>
        </w:rPr>
        <w:t xml:space="preserve">A732003 POTPORE ZA PROGRAME OSTVARIVANJA KULTURNE AUTONOMIJE NACIONALNIH MANJINA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Ustavni zakon o pravima nacionalnih manjina - članak 35. stavak 4.  
</w:t>
      </w:r>
    </w:p>
    <w:p>
      <w:pPr>
        <w:jc w:val="both"/>
        <w:pStyle w:val="Normal5"/>
      </w:pPr>
      <w:r>
        <w:rPr>
          <w:rFonts w:hAnsi="Times New Roman" w:cs="Times New Roman"/>
        </w:rPr>
        <w:t xml:space="preserve">Kriteriji financiranja i ugovaranja programa ostvarivanja kulturne autonomije nacionalnih manjina  
</w:t>
      </w:r>
    </w:p>
    <w:p>
      <w:pPr>
        <w:jc w:val="both"/>
        <w:pStyle w:val="Normal5"/>
      </w:pPr>
      <w:r>
        <w:rPr>
          <w:rFonts w:hAnsi="Times New Roman" w:cs="Times New Roman"/>
        </w:rPr>
        <w:t xml:space="preserve">Sporazum između Republike Hrvatske i Republike Mađarske o zaštiti mađarske manjine u Republici Hrvatskoj i hrvatske manjine u Republici Mađarskoj   
</w:t>
      </w:r>
    </w:p>
    <w:p>
      <w:pPr>
        <w:jc w:val="both"/>
        <w:pStyle w:val="Normal5"/>
      </w:pPr>
      <w:r>
        <w:rPr>
          <w:rFonts w:hAnsi="Times New Roman" w:cs="Times New Roman"/>
        </w:rPr>
        <w:t xml:space="preserve">Ugovor između Republike Hrvatske i Talijanske Republike o pravima manjina   
</w:t>
      </w:r>
    </w:p>
    <w:p>
      <w:pPr>
        <w:jc w:val="both"/>
        <w:pStyle w:val="Normal5"/>
      </w:pPr>
      <w:r>
        <w:rPr>
          <w:rFonts w:hAnsi="Times New Roman" w:cs="Times New Roman"/>
        </w:rPr>
        <w:t xml:space="preserve">Ugovor između Vlade Republike Hrvatske i Vlade Talijanske Republike o suradnji u području kulture i obrazovanja  
</w:t>
      </w:r>
    </w:p>
    <w:p>
      <w:pPr>
        <w:jc w:val="both"/>
        <w:pStyle w:val="Normal5"/>
      </w:pPr>
      <w:r>
        <w:rPr>
          <w:rFonts w:hAnsi="Times New Roman" w:cs="Times New Roman"/>
        </w:rPr>
        <w:t xml:space="preserve">Okvirna konvencija za zaštitu nacionalnih manjina  
</w:t>
      </w:r>
    </w:p>
    <w:p>
      <w:pPr>
        <w:jc w:val="both"/>
        <w:pStyle w:val="Normal5"/>
      </w:pPr>
      <w:r>
        <w:rPr>
          <w:rFonts w:hAnsi="Times New Roman" w:cs="Times New Roman"/>
        </w:rPr>
        <w:t xml:space="preserve">Operativni programi nacionalnih manjina za razdoblje 2024.-2028.  
</w:t>
      </w:r>
    </w:p>
    <w:p>
      <w:pPr>
        <w:jc w:val="both"/>
        <w:pStyle w:val="Normal5"/>
      </w:pPr>
      <w:r>
        <w:rPr>
          <w:rFonts w:hAnsi="Times New Roman" w:cs="Times New Roman"/>
        </w:rPr>
        <w:t xml:space="preserve">Nacionalni plan za uključivanje Roma, za razdoblje od 2021. do 2027. godine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A732003-POTPORE ZA PROGRAME OSTVARIVANJA KULTURNE AUTONOMIJE NACIONALNIH MANJINA</w:t>
            </w:r>
          </w:p>
        </w:tc>
        <w:tc>
          <w:tcPr>
            <w:tcW w:w="1632.96" w:type="dxa"/>
            <w:vAlign w:val="center"/>
          </w:tcPr>
          <w:p>
            <w:pPr>
              <w:jc w:val="both"/>
              <w:pStyle w:val="CellColumn"/>
            </w:pPr>
            <w:r>
              <w:rPr>
                <w:rFonts w:hAnsi="Times New Roman" w:cs="Times New Roman"/>
              </w:rPr>
              <w:t xml:space="preserve">10.080.614</w:t>
            </w:r>
          </w:p>
        </w:tc>
        <w:tc>
          <w:tcPr>
            <w:tcW w:w="1632.96" w:type="dxa"/>
            <w:vAlign w:val="center"/>
          </w:tcPr>
          <w:p>
            <w:pPr>
              <w:jc w:val="both"/>
              <w:pStyle w:val="CellColumn"/>
            </w:pPr>
            <w:r>
              <w:rPr>
                <w:rFonts w:hAnsi="Times New Roman" w:cs="Times New Roman"/>
              </w:rPr>
              <w:t xml:space="preserve">11.467.845</w:t>
            </w:r>
          </w:p>
        </w:tc>
        <w:tc>
          <w:tcPr>
            <w:tcW w:w="1632.96" w:type="dxa"/>
            <w:vAlign w:val="center"/>
          </w:tcPr>
          <w:p>
            <w:pPr>
              <w:jc w:val="both"/>
              <w:pStyle w:val="CellColumn"/>
            </w:pPr>
            <w:r>
              <w:rPr>
                <w:rFonts w:hAnsi="Times New Roman" w:cs="Times New Roman"/>
              </w:rPr>
              <w:t xml:space="preserve">12.583.665</w:t>
            </w:r>
          </w:p>
        </w:tc>
        <w:tc>
          <w:tcPr>
            <w:tcW w:w="1632.96" w:type="dxa"/>
            <w:vAlign w:val="center"/>
          </w:tcPr>
          <w:p>
            <w:pPr>
              <w:jc w:val="both"/>
              <w:pStyle w:val="CellColumn"/>
            </w:pPr>
            <w:r>
              <w:rPr>
                <w:rFonts w:hAnsi="Times New Roman" w:cs="Times New Roman"/>
              </w:rPr>
              <w:t xml:space="preserve">12.583.665</w:t>
            </w:r>
          </w:p>
        </w:tc>
        <w:tc>
          <w:tcPr>
            <w:tcW w:w="1632.96" w:type="dxa"/>
            <w:vAlign w:val="center"/>
          </w:tcPr>
          <w:p>
            <w:pPr>
              <w:jc w:val="both"/>
              <w:pStyle w:val="CellColumn"/>
            </w:pPr>
            <w:r>
              <w:rPr>
                <w:rFonts w:hAnsi="Times New Roman" w:cs="Times New Roman"/>
              </w:rPr>
              <w:t xml:space="preserve">12.573.665</w:t>
            </w:r>
          </w:p>
        </w:tc>
        <w:tc>
          <w:tcPr>
            <w:tcW w:w="510.3" w:type="dxa"/>
            <w:vAlign w:val="center"/>
          </w:tcPr>
          <w:p>
            <w:pPr>
              <w:jc w:val="both"/>
              <w:pStyle w:val="CellColumn"/>
            </w:pPr>
            <w:r>
              <w:rPr>
                <w:rFonts w:hAnsi="Times New Roman" w:cs="Times New Roman"/>
              </w:rPr>
              <w:t xml:space="preserve">109,7</w:t>
            </w:r>
          </w:p>
        </w:tc>
      </w:tr>
    </w:tbl>
    <w:p>
      <w:pPr>
        <w:jc w:val="left"/>
      </w:pPr>
      <w:r>
        <w:rPr>
          <w:rFonts w:hAnsi="Times New Roman" w:cs="Times New Roman"/>
        </w:rPr>
        <w:t xml:space="preserve"/>
      </w:r>
    </w:p>
    <w:p>
      <w:pPr>
        <w:jc w:val="both"/>
        <w:pStyle w:val="Normal"/>
      </w:pPr>
      <w:r>
        <w:rPr>
          <w:rFonts w:hAnsi="Times New Roman" w:cs="Times New Roman"/>
        </w:rPr>
        <w:t xml:space="preserve">Savjet za nacionalne manjine sukladno članku 35. stavku 4. Ustavnog zakona o pravima nacionalnih manjina raspoređuje sredstva koja se u državnom proračunu Republike Hrvatske osiguravaju za potrebe nacionalnih manjina u Republici Hrvatskoj.  
</w:t>
      </w:r>
    </w:p>
    <w:p>
      <w:pPr>
        <w:jc w:val="both"/>
        <w:pStyle w:val="Normal"/>
      </w:pPr>
      <w:r>
        <w:rPr>
          <w:rFonts w:hAnsi="Times New Roman" w:cs="Times New Roman"/>
        </w:rPr>
        <w:t xml:space="preserve">Za dodjelu potpora za programe udruga i ustanovama nacionalnih manjina krajem 2024. godine doneseni su novi Kriteriji financiranja i ugovaranja programa ostvarivanja kulturne autonomije nacionalnih manjina koji su u primjeni od 1. siječnja 2025. godine.  
</w:t>
      </w:r>
    </w:p>
    <w:p>
      <w:pPr>
        <w:jc w:val="both"/>
        <w:pStyle w:val="Normal"/>
      </w:pPr>
      <w:r>
        <w:rPr>
          <w:rFonts w:hAnsi="Times New Roman" w:cs="Times New Roman"/>
        </w:rPr>
        <w:t xml:space="preserve">Savjet za nacionalne manjine daje potpore za područja informiranja, izdavaštva, kulturnog amaterizma, kulturnih manifestacija, kao i provođenje odredbi bilateralnih sporazuma, za što jednom godišnje raspisuje javni poziv udrugama i ustanovama nacionalnih manjina, čime se potiče ostvarivanje kulturne autonomije. Potpora se također daje za stvaranje pretpostavki za ostvarivanje kulturne autonomije. 
</w:t>
      </w:r>
    </w:p>
    <w:p>
      <w:pPr>
        <w:jc w:val="both"/>
        <w:pStyle w:val="Normal"/>
      </w:pPr>
      <w:r>
        <w:rPr>
          <w:rFonts w:hAnsi="Times New Roman" w:cs="Times New Roman"/>
        </w:rPr>
        <w:t xml:space="preserve">Davanjem potpora udrugama i ustanovama nacionalnih manjina za gore navedene programe nastoji se poboljšati i unaprijediti očuvanje etničkog, kulturnog i jezičnog identiteta pripadnika nacionalnih manjina na njihovom jeziku i pismu.  
</w:t>
      </w:r>
    </w:p>
    <w:p>
      <w:pPr>
        <w:jc w:val="both"/>
        <w:pStyle w:val="Normal"/>
      </w:pPr>
      <w:r>
        <w:rPr>
          <w:rFonts w:hAnsi="Times New Roman" w:cs="Times New Roman"/>
        </w:rPr>
        <w:t xml:space="preserve">Predloženi iznosi sredstava, koji se u državnom proračunu osiguravaju za potrebe nacionalnih manjina, temelje se na analizi programa udruga i ustanova nacionalnih manjina, koja kontinuirano pokazuje pozitivni razvitak te pozitivne učinke vezane za integraciju nacionalnih manjina u hrvatsko društvo sa svojim identitetom te daljnji napredak razine financijske discipline i odgovornosti za dobivena sredstva.  
</w:t>
      </w:r>
    </w:p>
    <w:p>
      <w:pPr>
        <w:jc w:val="both"/>
        <w:pStyle w:val="Normal"/>
      </w:pPr>
      <w:r>
        <w:rPr>
          <w:rFonts w:hAnsi="Times New Roman" w:cs="Times New Roman"/>
        </w:rPr>
        <w:t xml:space="preserve">Poticanjem rada udruga i ustanova nacionalnih manjina upućuje da se putem ostvarivanja programa kulturne autonomije kao krajnji rezultat vidno i značajno poboljšava položaj nacionalnih manjina u Republici Hrvatskoj, sukladno politici Vlade Republike Hrvatske i provedbi operativnih programa za nacionalne manjine Vlade Republike Hrvatske.  
</w:t>
      </w:r>
    </w:p>
    <w:p>
      <w:pPr>
        <w:jc w:val="both"/>
        <w:pStyle w:val="Normal"/>
      </w:pPr>
      <w:r>
        <w:rPr>
          <w:rFonts w:hAnsi="Times New Roman" w:cs="Times New Roman"/>
        </w:rPr>
        <w:t xml:space="preserve">Napominjemo kako Savjet za nacionalne manjine godišnje ima zahtjeve za sufinanciranjem preko 1.300 programa kulturne autonomije koji se kreću u ukupnom iznosu od 13 do 16 milijuna EUR.  
</w:t>
      </w:r>
    </w:p>
    <w:p>
      <w:pPr>
        <w:jc w:val="both"/>
        <w:pStyle w:val="Normal"/>
      </w:pPr>
      <w:r>
        <w:rPr>
          <w:rFonts w:hAnsi="Times New Roman" w:cs="Times New Roman"/>
        </w:rPr>
        <w:t xml:space="preserve">U okviru aktivnosti A732003 Potpore za programe ostvarivanja kulturne autonomije nacionalnih manjina planirana su sredstva u iznosu 12.583.665,00 za 2026. i 2027. godinu te 12.573.665,00 EUR za 2028. godinu.  
</w:t>
      </w:r>
    </w:p>
    <w:p>
      <w:pPr>
        <w:jc w:val="both"/>
        <w:pStyle w:val="Normal"/>
      </w:pPr>
      <w:r>
        <w:rPr>
          <w:rFonts w:hAnsi="Times New Roman" w:cs="Times New Roman"/>
        </w:rPr>
        <w:t xml:space="preserve">U nastavku dajemo razradu planiranih sredstava po skupinama rashoda kako slijedi:  
</w:t>
      </w:r>
    </w:p>
    <w:p>
      <w:pPr>
        <w:jc w:val="both"/>
        <w:pStyle w:val="Normal"/>
      </w:pPr>
      <w:r>
        <w:rPr>
          <w:rFonts w:hAnsi="Times New Roman" w:cs="Times New Roman"/>
        </w:rPr>
        <w:t xml:space="preserve">32 Materijalni rashodi  
</w:t>
      </w:r>
    </w:p>
    <w:p>
      <w:pPr>
        <w:jc w:val="both"/>
        <w:pStyle w:val="Normal"/>
      </w:pPr>
      <w:r>
        <w:rPr>
          <w:rFonts w:hAnsi="Times New Roman" w:cs="Times New Roman"/>
        </w:rPr>
        <w:t xml:space="preserve">Planirana su sredstva u iznosu 87.300,00 EUR za 2026. godinu, 97.300,00.EUR za 2027. godinu i 87.300,00 EUR za 2028. godinu. Planirana sredstva se odnose na podmirenje troškova: stručnih seminara za udruge i ustanove nacionalnih manjina te vijeća i predstavnike nacionalnih manjina, koje Stručna služba Savjeta organizira godišnje (najam dvorana, putni troškovi sudionika seminara, reprezentacija – 10.000,00 EUR za svaku godinu planiranja), izrade analize i istraživanja folklora, jezika, običaja i sl. nacionalnih manjina (5.000,00 EUR za svaku godinu planiranja), izrade izvješća o činjeničnim nalazima analize i kontrole godišnjih izvješća udruga nacionalnih manjina o ostvarivanju programa i utrošku dodijeljenih sredstava iz potpora Državnog proračuna (7.500,00 EUR za svaku godinu planiranja), objave javnog poziva udrugama i ustanovama nacionalnih manjina za potpore čime se potiče ostvarivanje kulturne autonomije (900,00 EUR za svaku godinu planiranja), održavanja web stranica Savjeta (3.000,00 EUR za svaku godinu planiranja), objave sadržaja vezanih uz izvršavanje programa koje Savjet financira i održavanja aplikacije za prijavu programa kulturne autonomije udruga i ustanova nacionalnih manjina na javni poziv te predaje kvartalnih, polugodišnjih i godišnjih izvještaja putem Interneta (28.000,00 EUR za svaku godinu planiranja). Na preporuku Državnog ureda za reviziju i temeljem Kriterija financiranja i ugovaranja programa ostvarivanja kulturne autonomije nacionalnih manjina, Stručna služba na osnovu godišnjeg plana terenskih izvida obavlja kontrolu namjenskog utroška sredstava i provođenja ostvarivanja programa kulturne autonomije. Okvirno se terenskim izvidima, za što su planirana sredstva u iznosu 10.000,00 EUR za svaku godinu planiranja, obuhvaća 1/3 dodijeljenih potpora za programe kulturne autonomije.   
</w:t>
      </w:r>
    </w:p>
    <w:p>
      <w:pPr>
        <w:jc w:val="both"/>
        <w:pStyle w:val="Normal"/>
      </w:pPr>
      <w:r>
        <w:rPr>
          <w:rFonts w:hAnsi="Times New Roman" w:cs="Times New Roman"/>
        </w:rPr>
        <w:t xml:space="preserve"> 
</w:t>
      </w:r>
    </w:p>
    <w:p>
      <w:pPr>
        <w:jc w:val="both"/>
        <w:pStyle w:val="Normal"/>
      </w:pPr>
      <w:r>
        <w:rPr>
          <w:rFonts w:hAnsi="Times New Roman" w:cs="Times New Roman"/>
        </w:rPr>
        <w:t xml:space="preserve">34 Financijski rashodi  
</w:t>
      </w:r>
    </w:p>
    <w:p>
      <w:pPr>
        <w:jc w:val="both"/>
        <w:pStyle w:val="Normal"/>
      </w:pPr>
      <w:r>
        <w:rPr>
          <w:rFonts w:hAnsi="Times New Roman" w:cs="Times New Roman"/>
        </w:rPr>
        <w:t xml:space="preserve">Planirana su sredstva u iznosu 3,00 EUR za svaku planiranu godinu.  
</w:t>
      </w:r>
    </w:p>
    <w:p>
      <w:pPr>
        <w:jc w:val="both"/>
        <w:pStyle w:val="Normal"/>
      </w:pPr>
      <w:r>
        <w:rPr>
          <w:rFonts w:hAnsi="Times New Roman" w:cs="Times New Roman"/>
        </w:rPr>
        <w:t xml:space="preserve"> 
</w:t>
      </w:r>
    </w:p>
    <w:p>
      <w:pPr>
        <w:jc w:val="both"/>
        <w:pStyle w:val="Normal"/>
      </w:pPr>
      <w:r>
        <w:rPr>
          <w:rFonts w:hAnsi="Times New Roman" w:cs="Times New Roman"/>
        </w:rPr>
        <w:t xml:space="preserve">36 Pomoći dane u inozemstvo i unutar općeg proračuna  
</w:t>
      </w:r>
    </w:p>
    <w:p>
      <w:pPr>
        <w:jc w:val="both"/>
        <w:pStyle w:val="Normal"/>
      </w:pPr>
      <w:r>
        <w:rPr>
          <w:rFonts w:hAnsi="Times New Roman" w:cs="Times New Roman"/>
        </w:rPr>
        <w:t xml:space="preserve">Planirana su sredstva u iznosu 386.362,00 EUR za svaku godinu planiranja. Sredstva se odnose na podmirenje tekućih i kapitalnih pomoći gradovima i općinama (320.000,00 EUR za svaku godinu planiranja) te tekućih pomoći proračunskim korisnicima drugih proračuna (66.362,00 EUR za svaku godinu planiranja) sukladno operativnim programima za nacionalne manjine Vlade Republike Hrvatske i bilateralnim ugovorima i sporazumima kojih je Republika Hrvatska stranka.  
</w:t>
      </w:r>
    </w:p>
    <w:p>
      <w:pPr>
        <w:jc w:val="both"/>
        <w:pStyle w:val="Normal"/>
      </w:pPr>
      <w:r>
        <w:rPr>
          <w:rFonts w:hAnsi="Times New Roman" w:cs="Times New Roman"/>
        </w:rPr>
        <w:t xml:space="preserve"> 
</w:t>
      </w:r>
    </w:p>
    <w:p>
      <w:pPr>
        <w:jc w:val="both"/>
        <w:pStyle w:val="Normal"/>
      </w:pPr>
      <w:r>
        <w:rPr>
          <w:rFonts w:hAnsi="Times New Roman" w:cs="Times New Roman"/>
        </w:rPr>
        <w:t xml:space="preserve">38 Rashodi za donacije, kazne, naknade šteta i kapitalne pomoći  
</w:t>
      </w:r>
    </w:p>
    <w:p>
      <w:pPr>
        <w:jc w:val="both"/>
        <w:pStyle w:val="Normal"/>
      </w:pPr>
      <w:r>
        <w:rPr>
          <w:rFonts w:hAnsi="Times New Roman" w:cs="Times New Roman"/>
        </w:rPr>
        <w:t xml:space="preserve">Sredstva u iznosu 12.100.000,00 EUR za svaku godinu planiranja se odnose na tekuće donacije za programe kulturne autonomije - informiranje, izdavaštvo, kulturni amaterizam i kulturne manifestacije, a sve prema odluci o rasporedu sredstava i sklopljenim ugovorima - koja se doznačuju udrugama i ustanovama nacionalnih manjina kontinuirano tijekom cijele godine u kvartalnim doznakama. Dodijeljena sredstva odnose se na potrebe 20 nacionalnih manjina i njihovih udruga (samostalnih udruga te saveza ili zajednica kao i njihovih članica, a kojih sveukupno bude više od 240 svake godine planiranja).  
</w:t>
      </w:r>
    </w:p>
    <w:p>
      <w:pPr>
        <w:jc w:val="both"/>
        <w:pStyle w:val="Normal"/>
      </w:pPr>
      <w:r>
        <w:rPr>
          <w:rFonts w:hAnsi="Times New Roman" w:cs="Times New Roman"/>
        </w:rPr>
        <w:t xml:space="preserve"> 
</w:t>
      </w:r>
    </w:p>
    <w:p>
      <w:pPr>
        <w:jc w:val="both"/>
        <w:pStyle w:val="Normal"/>
      </w:pPr>
      <w:r>
        <w:rPr>
          <w:rFonts w:hAnsi="Times New Roman" w:cs="Times New Roman"/>
        </w:rPr>
        <w:t xml:space="preserve">42 Rashodi za nabavu proizvedene dugotrajne imovine  
</w:t>
      </w:r>
    </w:p>
    <w:p>
      <w:pPr>
        <w:jc w:val="both"/>
        <w:pStyle w:val="Normal"/>
      </w:pPr>
      <w:r>
        <w:rPr>
          <w:rFonts w:hAnsi="Times New Roman" w:cs="Times New Roman"/>
        </w:rPr>
        <w:t xml:space="preserve">Planirana su sredstva u iznosu 10.000,00 EUR za 2026. godinu. Sredstva su planirana za nadogradnju aplikacije za internetsku predaju polugodišnjih, kvartalnih i godišnjih izvještaja udruga nacionalnih manjina i prijave programa udruga i ustanova.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programa kulturne autonomije udruga i ustanova kojima su odobrena financijska sredstva, a koji se predaju interaktivno putem aplikacije</w:t>
            </w:r>
          </w:p>
        </w:tc>
        <w:tc>
          <w:tcPr>
            <w:tcW w:w="2245.32" w:type="dxa"/>
            <w:vAlign w:val="center"/>
          </w:tcPr>
          <w:p>
            <w:pPr>
              <w:jc w:val="both"/>
              <w:pStyle w:val="CellColumn"/>
            </w:pPr>
            <w:r>
              <w:rPr>
                <w:rFonts w:hAnsi="Times New Roman" w:cs="Times New Roman"/>
              </w:rPr>
              <w:t xml:space="preserve">Savjet za nacionalne manjine na godišnjoj razini odobrava sredstva potpora za programe kulturne autonomije nacionalnih manjina putem javnog poziva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1227</w:t>
            </w:r>
          </w:p>
        </w:tc>
        <w:tc>
          <w:tcPr>
            <w:tcW w:w="918.54" w:type="dxa"/>
            <w:vAlign w:val="center"/>
          </w:tcPr>
          <w:p>
            <w:pPr>
              <w:jc w:val="both"/>
              <w:pStyle w:val="CellColumn"/>
            </w:pPr>
            <w:r>
              <w:rPr>
                <w:rFonts w:hAnsi="Times New Roman" w:cs="Times New Roman"/>
              </w:rPr>
              <w:t xml:space="preserve">Odluka o rasporedu sredstava</w:t>
            </w:r>
          </w:p>
        </w:tc>
        <w:tc>
          <w:tcPr>
            <w:tcW w:w="918.54" w:type="dxa"/>
            <w:vAlign w:val="center"/>
          </w:tcPr>
          <w:p>
            <w:pPr>
              <w:jc w:val="both"/>
              <w:pStyle w:val="CellColumn"/>
            </w:pPr>
            <w:r>
              <w:rPr>
                <w:rFonts w:hAnsi="Times New Roman" w:cs="Times New Roman"/>
              </w:rPr>
              <w:t xml:space="preserve">1200</w:t>
            </w:r>
          </w:p>
        </w:tc>
        <w:tc>
          <w:tcPr>
            <w:tcW w:w="918.54" w:type="dxa"/>
            <w:vAlign w:val="center"/>
          </w:tcPr>
          <w:p>
            <w:pPr>
              <w:jc w:val="both"/>
              <w:pStyle w:val="CellColumn"/>
            </w:pPr>
            <w:r>
              <w:rPr>
                <w:rFonts w:hAnsi="Times New Roman" w:cs="Times New Roman"/>
              </w:rPr>
              <w:t xml:space="preserve">1201</w:t>
            </w:r>
          </w:p>
        </w:tc>
        <w:tc>
          <w:tcPr>
            <w:tcW w:w="918.54" w:type="dxa"/>
            <w:vAlign w:val="center"/>
          </w:tcPr>
          <w:p>
            <w:pPr>
              <w:jc w:val="both"/>
              <w:pStyle w:val="CellColumn"/>
            </w:pPr>
            <w:r>
              <w:rPr>
                <w:rFonts w:hAnsi="Times New Roman" w:cs="Times New Roman"/>
              </w:rPr>
              <w:t xml:space="preserve">1202</w:t>
            </w:r>
          </w:p>
        </w:tc>
      </w:tr>
      <w:tr>
        <w:trPr>
          <w:cantSplit/>
        </w:trPr>
        <w:tc>
          <w:tcPr>
            <w:tcW w:w="2245.32" w:type="dxa"/>
            <w:vAlign w:val="center"/>
          </w:tcPr>
          <w:p>
            <w:pPr>
              <w:jc w:val="both"/>
              <w:pStyle w:val="CellColumn"/>
            </w:pPr>
            <w:r>
              <w:rPr>
                <w:rFonts w:hAnsi="Times New Roman" w:cs="Times New Roman"/>
              </w:rPr>
              <w:t xml:space="preserve">Broj udruga i ustanova nacionalnih manjina kojima je odobrena potpora</w:t>
            </w:r>
          </w:p>
        </w:tc>
        <w:tc>
          <w:tcPr>
            <w:tcW w:w="2245.32" w:type="dxa"/>
            <w:vAlign w:val="center"/>
          </w:tcPr>
          <w:p>
            <w:pPr>
              <w:jc w:val="both"/>
              <w:pStyle w:val="CellColumn"/>
            </w:pPr>
            <w:r>
              <w:rPr>
                <w:rFonts w:hAnsi="Times New Roman" w:cs="Times New Roman"/>
              </w:rPr>
              <w:t xml:space="preserve">Savjet za nacionalne manjine na godišnjoj razini odobrava sredstva udrugama i ustanovama nacionalnih manjina putem javnog poziva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249</w:t>
            </w:r>
          </w:p>
        </w:tc>
        <w:tc>
          <w:tcPr>
            <w:tcW w:w="918.54" w:type="dxa"/>
            <w:vAlign w:val="center"/>
          </w:tcPr>
          <w:p>
            <w:pPr>
              <w:jc w:val="both"/>
              <w:pStyle w:val="CellColumn"/>
            </w:pPr>
            <w:r>
              <w:rPr>
                <w:rFonts w:hAnsi="Times New Roman" w:cs="Times New Roman"/>
              </w:rPr>
              <w:t xml:space="preserve">Odluka o rasporedu sredstava</w:t>
            </w:r>
          </w:p>
        </w:tc>
        <w:tc>
          <w:tcPr>
            <w:tcW w:w="918.54" w:type="dxa"/>
            <w:vAlign w:val="center"/>
          </w:tcPr>
          <w:p>
            <w:pPr>
              <w:jc w:val="both"/>
              <w:pStyle w:val="CellColumn"/>
            </w:pPr>
            <w:r>
              <w:rPr>
                <w:rFonts w:hAnsi="Times New Roman" w:cs="Times New Roman"/>
              </w:rPr>
              <w:t xml:space="preserve">237</w:t>
            </w:r>
          </w:p>
        </w:tc>
        <w:tc>
          <w:tcPr>
            <w:tcW w:w="918.54" w:type="dxa"/>
            <w:vAlign w:val="center"/>
          </w:tcPr>
          <w:p>
            <w:pPr>
              <w:jc w:val="both"/>
              <w:pStyle w:val="CellColumn"/>
            </w:pPr>
            <w:r>
              <w:rPr>
                <w:rFonts w:hAnsi="Times New Roman" w:cs="Times New Roman"/>
              </w:rPr>
              <w:t xml:space="preserve">238</w:t>
            </w:r>
          </w:p>
        </w:tc>
        <w:tc>
          <w:tcPr>
            <w:tcW w:w="918.54" w:type="dxa"/>
            <w:vAlign w:val="center"/>
          </w:tcPr>
          <w:p>
            <w:pPr>
              <w:jc w:val="both"/>
              <w:pStyle w:val="CellColumn"/>
            </w:pPr>
            <w:r>
              <w:rPr>
                <w:rFonts w:hAnsi="Times New Roman" w:cs="Times New Roman"/>
              </w:rPr>
              <w:t xml:space="preserve">239</w:t>
            </w:r>
          </w:p>
        </w:tc>
      </w:tr>
      <w:tr>
        <w:trPr>
          <w:cantSplit/>
        </w:trPr>
        <w:tc>
          <w:tcPr>
            <w:tcW w:w="2245.32" w:type="dxa"/>
            <w:vAlign w:val="center"/>
          </w:tcPr>
          <w:p>
            <w:pPr>
              <w:jc w:val="both"/>
              <w:pStyle w:val="CellColumn"/>
            </w:pPr>
            <w:r>
              <w:rPr>
                <w:rFonts w:hAnsi="Times New Roman" w:cs="Times New Roman"/>
              </w:rPr>
              <w:t xml:space="preserve">Broj pripadnika nacionalnih manjina koji sudjeluju u ostvarivanju programa kulturne autonomije</w:t>
            </w:r>
          </w:p>
        </w:tc>
        <w:tc>
          <w:tcPr>
            <w:tcW w:w="2245.32" w:type="dxa"/>
            <w:vAlign w:val="center"/>
          </w:tcPr>
          <w:p>
            <w:pPr>
              <w:jc w:val="both"/>
              <w:pStyle w:val="CellColumn"/>
            </w:pPr>
            <w:r>
              <w:rPr>
                <w:rFonts w:hAnsi="Times New Roman" w:cs="Times New Roman"/>
              </w:rPr>
              <w:t xml:space="preserve">Pratit će se broj pripadnika nacionalnih manjina putem Internetske aplikacije koji su direktno vezani uz realizaciju programa kao ciljna skupina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75432</w:t>
            </w:r>
          </w:p>
        </w:tc>
        <w:tc>
          <w:tcPr>
            <w:tcW w:w="918.54" w:type="dxa"/>
            <w:vAlign w:val="center"/>
          </w:tcPr>
          <w:p>
            <w:pPr>
              <w:jc w:val="both"/>
              <w:pStyle w:val="CellColumn"/>
            </w:pPr>
            <w:r>
              <w:rPr>
                <w:rFonts w:hAnsi="Times New Roman" w:cs="Times New Roman"/>
              </w:rPr>
              <w:t xml:space="preserve">Opći obrazac OOP- aplikacija; 
</w:t>
            </w:r>
          </w:p>
          <w:p>
            <w:pPr>
              <w:jc w:val="both"/>
              <w:pStyle w:val="CellColumn"/>
            </w:pPr>
            <w:r>
              <w:rPr>
                <w:rFonts w:hAnsi="Times New Roman" w:cs="Times New Roman"/>
              </w:rPr>
              <w:t xml:space="preserve">Odluka o rasporedu sredstava</w:t>
            </w:r>
          </w:p>
        </w:tc>
        <w:tc>
          <w:tcPr>
            <w:tcW w:w="918.54" w:type="dxa"/>
            <w:vAlign w:val="center"/>
          </w:tcPr>
          <w:p>
            <w:pPr>
              <w:jc w:val="both"/>
              <w:pStyle w:val="CellColumn"/>
            </w:pPr>
            <w:r>
              <w:rPr>
                <w:rFonts w:hAnsi="Times New Roman" w:cs="Times New Roman"/>
              </w:rPr>
              <w:t xml:space="preserve">75412</w:t>
            </w:r>
          </w:p>
        </w:tc>
        <w:tc>
          <w:tcPr>
            <w:tcW w:w="918.54" w:type="dxa"/>
            <w:vAlign w:val="center"/>
          </w:tcPr>
          <w:p>
            <w:pPr>
              <w:jc w:val="both"/>
              <w:pStyle w:val="CellColumn"/>
            </w:pPr>
            <w:r>
              <w:rPr>
                <w:rFonts w:hAnsi="Times New Roman" w:cs="Times New Roman"/>
              </w:rPr>
              <w:t xml:space="preserve">75420</w:t>
            </w:r>
          </w:p>
        </w:tc>
        <w:tc>
          <w:tcPr>
            <w:tcW w:w="918.54" w:type="dxa"/>
            <w:vAlign w:val="center"/>
          </w:tcPr>
          <w:p>
            <w:pPr>
              <w:jc w:val="both"/>
              <w:pStyle w:val="CellColumn"/>
            </w:pPr>
            <w:r>
              <w:rPr>
                <w:rFonts w:hAnsi="Times New Roman" w:cs="Times New Roman"/>
              </w:rPr>
              <w:t xml:space="preserve">75423</w:t>
            </w:r>
          </w:p>
        </w:tc>
      </w:tr>
      <w:tr>
        <w:trPr>
          <w:cantSplit/>
        </w:trPr>
        <w:tc>
          <w:tcPr>
            <w:tcW w:w="2245.32" w:type="dxa"/>
            <w:vAlign w:val="center"/>
          </w:tcPr>
          <w:p>
            <w:pPr>
              <w:jc w:val="both"/>
              <w:pStyle w:val="CellColumn"/>
            </w:pPr>
            <w:r>
              <w:rPr>
                <w:rFonts w:hAnsi="Times New Roman" w:cs="Times New Roman"/>
              </w:rPr>
              <w:t xml:space="preserve">Broj javnih poziva</w:t>
            </w:r>
          </w:p>
        </w:tc>
        <w:tc>
          <w:tcPr>
            <w:tcW w:w="2245.32" w:type="dxa"/>
            <w:vAlign w:val="center"/>
          </w:tcPr>
          <w:p>
            <w:pPr>
              <w:jc w:val="both"/>
              <w:pStyle w:val="CellColumn"/>
            </w:pPr>
            <w:r>
              <w:rPr>
                <w:rFonts w:hAnsi="Times New Roman" w:cs="Times New Roman"/>
              </w:rPr>
              <w:t xml:space="preserve">Javni poziv objavljuje se s ciljem prijava programa kulturne autonomije udruga i ustanova nacionalnih manjina za sufinanciranje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Narodne novine</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r>
        <w:trPr>
          <w:cantSplit/>
        </w:trPr>
        <w:tc>
          <w:tcPr>
            <w:tcW w:w="2245.32" w:type="dxa"/>
            <w:vAlign w:val="center"/>
          </w:tcPr>
          <w:p>
            <w:pPr>
              <w:jc w:val="both"/>
              <w:pStyle w:val="CellColumn"/>
            </w:pPr>
            <w:r>
              <w:rPr>
                <w:rFonts w:hAnsi="Times New Roman" w:cs="Times New Roman"/>
              </w:rPr>
              <w:t xml:space="preserve">Broj stručnih seminara</w:t>
            </w:r>
          </w:p>
        </w:tc>
        <w:tc>
          <w:tcPr>
            <w:tcW w:w="2245.32" w:type="dxa"/>
            <w:vAlign w:val="center"/>
          </w:tcPr>
          <w:p>
            <w:pPr>
              <w:jc w:val="both"/>
              <w:pStyle w:val="CellColumn"/>
            </w:pPr>
            <w:r>
              <w:rPr>
                <w:rFonts w:hAnsi="Times New Roman" w:cs="Times New Roman"/>
              </w:rPr>
              <w:t xml:space="preserve">Stručna služba organizira za svoje krajnje korisnike seminare vezano za prijave programa i dostavljanje izvještaja, a u suradnji s drugim tijelima seminare za vijeća i predstavnike nacionalnih manjina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Obavijest udrugama i ustanovama nacionalnih manjina</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r>
        <w:trPr>
          <w:cantSplit/>
        </w:trPr>
        <w:tc>
          <w:tcPr>
            <w:tcW w:w="2245.32" w:type="dxa"/>
            <w:vAlign w:val="center"/>
          </w:tcPr>
          <w:p>
            <w:pPr>
              <w:jc w:val="both"/>
              <w:pStyle w:val="CellColumn"/>
            </w:pPr>
            <w:r>
              <w:rPr>
                <w:rFonts w:hAnsi="Times New Roman" w:cs="Times New Roman"/>
              </w:rPr>
              <w:t xml:space="preserve">Broj izvješća analiza i kontrola utroška sredstava</w:t>
            </w:r>
          </w:p>
        </w:tc>
        <w:tc>
          <w:tcPr>
            <w:tcW w:w="2245.32" w:type="dxa"/>
            <w:vAlign w:val="center"/>
          </w:tcPr>
          <w:p>
            <w:pPr>
              <w:jc w:val="both"/>
              <w:pStyle w:val="CellColumn"/>
            </w:pPr>
            <w:r>
              <w:rPr>
                <w:rFonts w:hAnsi="Times New Roman" w:cs="Times New Roman"/>
              </w:rPr>
              <w:t xml:space="preserve">Za potrebe Stručne službe koriste se i vanjske usluge za poslove kontrola i analiza godišnjih izvještaja udruga i ustanova o utrošku sredstava u ostvarivanju programa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Ugovor</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r>
        <w:trPr>
          <w:cantSplit/>
        </w:trPr>
        <w:tc>
          <w:tcPr>
            <w:tcW w:w="2245.32" w:type="dxa"/>
            <w:vAlign w:val="center"/>
          </w:tcPr>
          <w:p>
            <w:pPr>
              <w:jc w:val="both"/>
              <w:pStyle w:val="CellColumn"/>
            </w:pPr>
            <w:r>
              <w:rPr>
                <w:rFonts w:hAnsi="Times New Roman" w:cs="Times New Roman"/>
              </w:rPr>
              <w:t xml:space="preserve">Broj biltena Savjeta za nacionalne manjine</w:t>
            </w:r>
          </w:p>
        </w:tc>
        <w:tc>
          <w:tcPr>
            <w:tcW w:w="2245.32" w:type="dxa"/>
            <w:vAlign w:val="center"/>
          </w:tcPr>
          <w:p>
            <w:pPr>
              <w:jc w:val="both"/>
              <w:pStyle w:val="CellColumn"/>
            </w:pPr>
            <w:r>
              <w:rPr>
                <w:rFonts w:hAnsi="Times New Roman" w:cs="Times New Roman"/>
              </w:rPr>
              <w:t xml:space="preserve">Za potrebe Savjeta izrađuje se tiskovina u formi biltena sa temama vezanim uz nacionalne manjine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Ugovor</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r>
        <w:trPr>
          <w:cantSplit/>
        </w:trPr>
        <w:tc>
          <w:tcPr>
            <w:tcW w:w="2245.32" w:type="dxa"/>
            <w:vAlign w:val="center"/>
          </w:tcPr>
          <w:p>
            <w:pPr>
              <w:jc w:val="both"/>
              <w:pStyle w:val="CellColumn"/>
            </w:pPr>
            <w:r>
              <w:rPr>
                <w:rFonts w:hAnsi="Times New Roman" w:cs="Times New Roman"/>
              </w:rPr>
              <w:t xml:space="preserve">Broj internetskih aplikacija</w:t>
            </w:r>
          </w:p>
        </w:tc>
        <w:tc>
          <w:tcPr>
            <w:tcW w:w="2245.32" w:type="dxa"/>
            <w:vAlign w:val="center"/>
          </w:tcPr>
          <w:p>
            <w:pPr>
              <w:jc w:val="both"/>
              <w:pStyle w:val="CellColumn"/>
            </w:pPr>
            <w:r>
              <w:rPr>
                <w:rFonts w:hAnsi="Times New Roman" w:cs="Times New Roman"/>
              </w:rPr>
              <w:t xml:space="preserve">Putem interaktivne internetske aplikacije udruge predaju kvartalna, polugodišnja i godišnja izvješća o utrošku sredstava i ostvarivanju programa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Ugovor</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r>
        <w:trPr>
          <w:cantSplit/>
        </w:trPr>
        <w:tc>
          <w:tcPr>
            <w:tcW w:w="2245.32" w:type="dxa"/>
            <w:vAlign w:val="center"/>
          </w:tcPr>
          <w:p>
            <w:pPr>
              <w:jc w:val="both"/>
              <w:pStyle w:val="CellColumn"/>
            </w:pPr>
            <w:r>
              <w:rPr>
                <w:rFonts w:hAnsi="Times New Roman" w:cs="Times New Roman"/>
              </w:rPr>
              <w:t xml:space="preserve">Broj web stranica</w:t>
            </w:r>
          </w:p>
        </w:tc>
        <w:tc>
          <w:tcPr>
            <w:tcW w:w="2245.32" w:type="dxa"/>
            <w:vAlign w:val="center"/>
          </w:tcPr>
          <w:p>
            <w:pPr>
              <w:jc w:val="both"/>
              <w:pStyle w:val="CellColumn"/>
            </w:pPr>
            <w:r>
              <w:rPr>
                <w:rFonts w:hAnsi="Times New Roman" w:cs="Times New Roman"/>
              </w:rPr>
              <w:t xml:space="preserve">Održavanje web stranice Savjeta za nacionalne manjine, uređivanje i objave kao i zakup diskovnog prostora za potrebe internetske aplikacije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Ugovor</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bl>
    <w:p>
      <w:pPr>
        <w:jc w:val="left"/>
      </w:pPr>
      <w:r>
        <w:rPr>
          <w:rFonts w:hAnsi="Times New Roman" w:cs="Times New Roman"/>
        </w:rPr>
        <w:t xml:space="preserve"/>
      </w:r>
    </w:p>
    <w:p>
      <w:pPr>
        <w:jc w:val="left"/>
        <w:pStyle w:val="Heading4"/>
      </w:pPr>
      <w:r>
        <w:rPr>
          <w:rFonts w:hAnsi="Times New Roman" w:cs="Times New Roman"/>
        </w:rPr>
        <w:t xml:space="preserve">A732004 ADMINISTRACIJA I UPRAVLJANJE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državnim službenicima  
</w:t>
      </w:r>
    </w:p>
    <w:p>
      <w:pPr>
        <w:jc w:val="both"/>
        <w:pStyle w:val="Normal5"/>
      </w:pPr>
      <w:r>
        <w:rPr>
          <w:rFonts w:hAnsi="Times New Roman" w:cs="Times New Roman"/>
        </w:rPr>
        <w:t xml:space="preserve">Kolektivni ugovor za državne službenike i namještenike  
</w:t>
      </w:r>
    </w:p>
    <w:p>
      <w:pPr>
        <w:jc w:val="both"/>
        <w:pStyle w:val="Normal5"/>
      </w:pPr>
      <w:r>
        <w:rPr>
          <w:rFonts w:hAnsi="Times New Roman" w:cs="Times New Roman"/>
        </w:rPr>
        <w:t xml:space="preserve">Uredba o Stručnoj službi Savjeta za nacionalne manjine  
</w:t>
      </w:r>
    </w:p>
    <w:p>
      <w:pPr>
        <w:jc w:val="both"/>
        <w:pStyle w:val="Normal5"/>
      </w:pPr>
      <w:r>
        <w:rPr>
          <w:rFonts w:hAnsi="Times New Roman" w:cs="Times New Roman"/>
        </w:rPr>
        <w:t xml:space="preserve">Statut Savjeta za nacionalne manjine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A732004-ADMINISTRACIJA I UPRAVLJANJE</w:t>
            </w:r>
          </w:p>
        </w:tc>
        <w:tc>
          <w:tcPr>
            <w:tcW w:w="1632.96" w:type="dxa"/>
            <w:vAlign w:val="center"/>
          </w:tcPr>
          <w:p>
            <w:pPr>
              <w:jc w:val="both"/>
              <w:pStyle w:val="CellColumn"/>
            </w:pPr>
            <w:r>
              <w:rPr>
                <w:rFonts w:hAnsi="Times New Roman" w:cs="Times New Roman"/>
              </w:rPr>
              <w:t xml:space="preserve">271.487</w:t>
            </w:r>
          </w:p>
        </w:tc>
        <w:tc>
          <w:tcPr>
            <w:tcW w:w="1632.96" w:type="dxa"/>
            <w:vAlign w:val="center"/>
          </w:tcPr>
          <w:p>
            <w:pPr>
              <w:jc w:val="both"/>
              <w:pStyle w:val="CellColumn"/>
            </w:pPr>
            <w:r>
              <w:rPr>
                <w:rFonts w:hAnsi="Times New Roman" w:cs="Times New Roman"/>
              </w:rPr>
              <w:t xml:space="preserve">359.370</w:t>
            </w:r>
          </w:p>
        </w:tc>
        <w:tc>
          <w:tcPr>
            <w:tcW w:w="1632.96" w:type="dxa"/>
            <w:vAlign w:val="center"/>
          </w:tcPr>
          <w:p>
            <w:pPr>
              <w:jc w:val="both"/>
              <w:pStyle w:val="CellColumn"/>
            </w:pPr>
            <w:r>
              <w:rPr>
                <w:rFonts w:hAnsi="Times New Roman" w:cs="Times New Roman"/>
              </w:rPr>
              <w:t xml:space="preserve">441.528</w:t>
            </w:r>
          </w:p>
        </w:tc>
        <w:tc>
          <w:tcPr>
            <w:tcW w:w="1632.96" w:type="dxa"/>
            <w:vAlign w:val="center"/>
          </w:tcPr>
          <w:p>
            <w:pPr>
              <w:jc w:val="both"/>
              <w:pStyle w:val="CellColumn"/>
            </w:pPr>
            <w:r>
              <w:rPr>
                <w:rFonts w:hAnsi="Times New Roman" w:cs="Times New Roman"/>
              </w:rPr>
              <w:t xml:space="preserve">399.626</w:t>
            </w:r>
          </w:p>
        </w:tc>
        <w:tc>
          <w:tcPr>
            <w:tcW w:w="1632.96" w:type="dxa"/>
            <w:vAlign w:val="center"/>
          </w:tcPr>
          <w:p>
            <w:pPr>
              <w:jc w:val="both"/>
              <w:pStyle w:val="CellColumn"/>
            </w:pPr>
            <w:r>
              <w:rPr>
                <w:rFonts w:hAnsi="Times New Roman" w:cs="Times New Roman"/>
              </w:rPr>
              <w:t xml:space="preserve">400.825</w:t>
            </w:r>
          </w:p>
        </w:tc>
        <w:tc>
          <w:tcPr>
            <w:tcW w:w="510.3" w:type="dxa"/>
            <w:vAlign w:val="center"/>
          </w:tcPr>
          <w:p>
            <w:pPr>
              <w:jc w:val="both"/>
              <w:pStyle w:val="CellColumn"/>
            </w:pPr>
            <w:r>
              <w:rPr>
                <w:rFonts w:hAnsi="Times New Roman" w:cs="Times New Roman"/>
              </w:rPr>
              <w:t xml:space="preserve">122,9</w:t>
            </w:r>
          </w:p>
        </w:tc>
      </w:tr>
    </w:tbl>
    <w:p>
      <w:pPr>
        <w:jc w:val="left"/>
      </w:pPr>
      <w:r>
        <w:rPr>
          <w:rFonts w:hAnsi="Times New Roman" w:cs="Times New Roman"/>
        </w:rPr>
        <w:t xml:space="preserve"/>
      </w:r>
    </w:p>
    <w:p>
      <w:pPr>
        <w:jc w:val="both"/>
        <w:pStyle w:val="Normal"/>
      </w:pPr>
      <w:r>
        <w:rPr>
          <w:rFonts w:hAnsi="Times New Roman" w:cs="Times New Roman"/>
        </w:rPr>
        <w:t xml:space="preserve">U okviru aktivnosti A732004 Administracija i upravljanje planirana su sredstva na izvoru financiranja 11 Opći prihodi i primici te izvoru financiranja 31 Vlastiti prihodi u iznosu 441.528,00 EUR za 2026. godinu, 399.626,00 EUR za 2027. godinu te 400.825,00 EUR za 2028. godinu.  
</w:t>
      </w:r>
    </w:p>
    <w:p>
      <w:pPr>
        <w:jc w:val="both"/>
        <w:pStyle w:val="Normal"/>
      </w:pPr>
      <w:r>
        <w:rPr>
          <w:rFonts w:hAnsi="Times New Roman" w:cs="Times New Roman"/>
        </w:rPr>
        <w:t xml:space="preserve">U nastavku dajemo razradu planiranih sredstava po skupinama rashoda i izvorima financiranja kako slijedi:  
</w:t>
      </w:r>
    </w:p>
    <w:p>
      <w:pPr>
        <w:jc w:val="both"/>
        <w:pStyle w:val="Normal"/>
      </w:pPr>
      <w:r>
        <w:rPr>
          <w:rFonts w:hAnsi="Times New Roman" w:cs="Times New Roman"/>
        </w:rPr>
        <w:t xml:space="preserve">Na izvoru financiranja 11 Opći prihodi i primici planirana su sredstva u iznosu 441.428,00 EUR za 2026. godinu, 399.526,00 EUR za 2027. godinu i 400.725,00 EUR za 2028. godinu.  
</w:t>
      </w:r>
    </w:p>
    <w:p>
      <w:pPr>
        <w:jc w:val="both"/>
        <w:pStyle w:val="Normal"/>
      </w:pPr>
      <w:r>
        <w:rPr>
          <w:rFonts w:hAnsi="Times New Roman" w:cs="Times New Roman"/>
        </w:rPr>
        <w:t xml:space="preserve">U nastavku dajemo razradu planiranih sredstava po skupinama rashoda kako slijedi:  
</w:t>
      </w:r>
    </w:p>
    <w:p>
      <w:pPr>
        <w:jc w:val="both"/>
        <w:pStyle w:val="Normal"/>
      </w:pPr>
      <w:r>
        <w:rPr>
          <w:rFonts w:hAnsi="Times New Roman" w:cs="Times New Roman"/>
        </w:rPr>
        <w:t xml:space="preserve">31 Rashodi za zaposlene  
</w:t>
      </w:r>
    </w:p>
    <w:p>
      <w:pPr>
        <w:jc w:val="both"/>
        <w:pStyle w:val="Normal"/>
      </w:pPr>
      <w:r>
        <w:rPr>
          <w:rFonts w:hAnsi="Times New Roman" w:cs="Times New Roman"/>
        </w:rPr>
        <w:t xml:space="preserve">Planirana su sredstva u iznosu 354.768,00 EUR za 2026. godinu, 361.246,00 EUR za 2027. godinu te 363.475,00 EUR za 2028. godinu. Sredstva su planirana za 1 dužnosnika i 6 državnih službenika te jednog novog državnog službenika od 1. veljače 2026. godine.  
</w:t>
      </w:r>
    </w:p>
    <w:p>
      <w:pPr>
        <w:jc w:val="both"/>
        <w:pStyle w:val="Normal"/>
      </w:pPr>
      <w:r>
        <w:rPr>
          <w:rFonts w:hAnsi="Times New Roman" w:cs="Times New Roman"/>
        </w:rPr>
        <w:t xml:space="preserve">32 Materijalni rashodi  
</w:t>
      </w:r>
    </w:p>
    <w:p>
      <w:pPr>
        <w:jc w:val="both"/>
        <w:pStyle w:val="Normal"/>
      </w:pPr>
      <w:r>
        <w:rPr>
          <w:rFonts w:hAnsi="Times New Roman" w:cs="Times New Roman"/>
        </w:rPr>
        <w:t xml:space="preserve">Planirana su sredstva u iznosu 80.057,00 EUR za 2026. godinu, 36.577,00 EUR za 2027. godinu te 35.547,00 EUR za 2028. godinu. Sredstva su planirana za službena putovanja, naknade za prijevoz s posla i na posao, stručno usavršavanje zaposlenika, uredske potrepštine, telekomunikacijske usluge, usluge tiskovina, sistematske preglede, računalne usluge, usluge izrade posjetnica te reprezentaciju. Za svaku godinu planiranja planirana su sredstva u iznosu 5.000,00 EUR za sređivanje arhivskog gradiva Savjeta za nacionalne manjine i Stručne službe Savjeta. Također, za 2026. godinu planirana su sredstva u iznosu 40.000,00 EUR za restauraciju namještaja u sobi predsjednika Savjeta nakon sanacije zgrade u Mesničkoj 23.
</w:t>
      </w:r>
    </w:p>
    <w:p>
      <w:pPr>
        <w:jc w:val="both"/>
        <w:pStyle w:val="Normal"/>
      </w:pPr>
      <w:r>
        <w:rPr>
          <w:rFonts w:hAnsi="Times New Roman" w:cs="Times New Roman"/>
        </w:rPr>
        <w:t xml:space="preserve"> 
</w:t>
      </w:r>
    </w:p>
    <w:p>
      <w:pPr>
        <w:jc w:val="both"/>
        <w:pStyle w:val="Normal"/>
      </w:pPr>
      <w:r>
        <w:rPr>
          <w:rFonts w:hAnsi="Times New Roman" w:cs="Times New Roman"/>
        </w:rPr>
        <w:t xml:space="preserve">34 Financijski rashodi  
</w:t>
      </w:r>
    </w:p>
    <w:p>
      <w:pPr>
        <w:jc w:val="both"/>
        <w:pStyle w:val="Normal"/>
      </w:pPr>
      <w:r>
        <w:rPr>
          <w:rFonts w:hAnsi="Times New Roman" w:cs="Times New Roman"/>
        </w:rPr>
        <w:t xml:space="preserve">Planirana su sredstva u iznosu 3,00 EUR za svaku planiranu godinu.  
</w:t>
      </w:r>
    </w:p>
    <w:p>
      <w:pPr>
        <w:jc w:val="both"/>
        <w:pStyle w:val="Normal"/>
      </w:pPr>
      <w:r>
        <w:rPr>
          <w:rFonts w:hAnsi="Times New Roman" w:cs="Times New Roman"/>
        </w:rPr>
        <w:t xml:space="preserve"> 
</w:t>
      </w:r>
    </w:p>
    <w:p>
      <w:pPr>
        <w:jc w:val="both"/>
        <w:pStyle w:val="Normal"/>
      </w:pPr>
      <w:r>
        <w:rPr>
          <w:rFonts w:hAnsi="Times New Roman" w:cs="Times New Roman"/>
        </w:rPr>
        <w:t xml:space="preserve">42 Rashodi za nabavu proizvedene dugotrajne imovine  
</w:t>
      </w:r>
    </w:p>
    <w:p>
      <w:pPr>
        <w:jc w:val="both"/>
        <w:pStyle w:val="Normal"/>
      </w:pPr>
      <w:r>
        <w:rPr>
          <w:rFonts w:hAnsi="Times New Roman" w:cs="Times New Roman"/>
        </w:rPr>
        <w:t xml:space="preserve">Planirana su sredstva u iznosu 6.600,00 EUR za 2026. godinu te po 1.700,00 EUR za 2027. i 2028. godinu.  
</w:t>
      </w:r>
    </w:p>
    <w:p>
      <w:pPr>
        <w:jc w:val="both"/>
        <w:pStyle w:val="Normal"/>
      </w:pPr>
      <w:r>
        <w:rPr>
          <w:rFonts w:hAnsi="Times New Roman" w:cs="Times New Roman"/>
        </w:rPr>
        <w:t xml:space="preserve">Sredstva za 2026. godinu planirana su za nabavu namještaja za jedno radno mjesto (novi državni službenik) dok su sredstva za 2027. i 2028. godinu planirana isključivo radi eventualne zamjene postojeće opreme.  
</w:t>
      </w:r>
    </w:p>
    <w:p>
      <w:pPr>
        <w:jc w:val="both"/>
        <w:pStyle w:val="Normal"/>
      </w:pPr>
      <w:r>
        <w:rPr>
          <w:rFonts w:hAnsi="Times New Roman" w:cs="Times New Roman"/>
        </w:rPr>
        <w:t xml:space="preserve"> 
</w:t>
      </w:r>
    </w:p>
    <w:p>
      <w:pPr>
        <w:jc w:val="both"/>
        <w:pStyle w:val="Normal"/>
      </w:pPr>
      <w:r>
        <w:rPr>
          <w:rFonts w:hAnsi="Times New Roman" w:cs="Times New Roman"/>
        </w:rPr>
        <w:t xml:space="preserve">Na izvoru financiranja 31 Vlastiti prihodi i skupini rashoda 32 Materijalni rashodi planirana su sredstva u iznosu 100,00 EUR za svaku planiranu godinu, sukladno odredbama Zakona o pravu na pristup informacijama.</w:t>
      </w:r>
    </w:p>
    <w:p>
      <w:pPr>
        <w:jc w:val="left"/>
        <w:pStyle w:val="Heading4"/>
      </w:pPr>
      <w:r>
        <w:rPr>
          <w:rFonts w:hAnsi="Times New Roman" w:cs="Times New Roman"/>
        </w:rPr>
        <w:t xml:space="preserve">A732005 RAD SAVJETA ZA NACIONALNE MANJINE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Statut Savjeta za nacionalne manjine  
</w:t>
      </w:r>
    </w:p>
    <w:p>
      <w:pPr>
        <w:jc w:val="both"/>
        <w:pStyle w:val="Normal5"/>
      </w:pPr>
      <w:r>
        <w:rPr>
          <w:rFonts w:hAnsi="Times New Roman" w:cs="Times New Roman"/>
        </w:rPr>
        <w:t xml:space="preserve">Ustavni zakon o pravima nacionalnih manjina  
</w:t>
      </w:r>
    </w:p>
    <w:p>
      <w:pPr>
        <w:jc w:val="both"/>
        <w:pStyle w:val="Normal5"/>
      </w:pPr>
      <w:r>
        <w:rPr>
          <w:rFonts w:hAnsi="Times New Roman" w:cs="Times New Roman"/>
        </w:rPr>
        <w:t xml:space="preserve">Pravilnik o naknadi troškova članovima Savjeta za nacionalne manjine  
</w:t>
      </w:r>
    </w:p>
    <w:p>
      <w:pPr>
        <w:jc w:val="both"/>
        <w:pStyle w:val="Normal5"/>
      </w:pPr>
      <w:r>
        <w:rPr>
          <w:rFonts w:hAnsi="Times New Roman" w:cs="Times New Roman"/>
        </w:rPr>
        <w:t xml:space="preserve">Odluka o visini i isplati naknade članovima Povjerenstva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A732005-RAD SAVJETA ZA NACIONALNE MANJINE</w:t>
            </w:r>
          </w:p>
        </w:tc>
        <w:tc>
          <w:tcPr>
            <w:tcW w:w="1632.96" w:type="dxa"/>
            <w:vAlign w:val="center"/>
          </w:tcPr>
          <w:p>
            <w:pPr>
              <w:jc w:val="both"/>
              <w:pStyle w:val="CellColumn"/>
            </w:pPr>
            <w:r>
              <w:rPr>
                <w:rFonts w:hAnsi="Times New Roman" w:cs="Times New Roman"/>
              </w:rPr>
              <w:t xml:space="preserve">36.429</w:t>
            </w:r>
          </w:p>
        </w:tc>
        <w:tc>
          <w:tcPr>
            <w:tcW w:w="1632.96" w:type="dxa"/>
            <w:vAlign w:val="center"/>
          </w:tcPr>
          <w:p>
            <w:pPr>
              <w:jc w:val="both"/>
              <w:pStyle w:val="CellColumn"/>
            </w:pPr>
            <w:r>
              <w:rPr>
                <w:rFonts w:hAnsi="Times New Roman" w:cs="Times New Roman"/>
              </w:rPr>
              <w:t xml:space="preserve">44.268</w:t>
            </w:r>
          </w:p>
        </w:tc>
        <w:tc>
          <w:tcPr>
            <w:tcW w:w="1632.96" w:type="dxa"/>
            <w:vAlign w:val="center"/>
          </w:tcPr>
          <w:p>
            <w:pPr>
              <w:jc w:val="both"/>
              <w:pStyle w:val="CellColumn"/>
            </w:pPr>
            <w:r>
              <w:rPr>
                <w:rFonts w:hAnsi="Times New Roman" w:cs="Times New Roman"/>
              </w:rPr>
              <w:t xml:space="preserve">69.500</w:t>
            </w:r>
          </w:p>
        </w:tc>
        <w:tc>
          <w:tcPr>
            <w:tcW w:w="1632.96" w:type="dxa"/>
            <w:vAlign w:val="center"/>
          </w:tcPr>
          <w:p>
            <w:pPr>
              <w:jc w:val="both"/>
              <w:pStyle w:val="CellColumn"/>
            </w:pPr>
            <w:r>
              <w:rPr>
                <w:rFonts w:hAnsi="Times New Roman" w:cs="Times New Roman"/>
              </w:rPr>
              <w:t xml:space="preserve">69.500</w:t>
            </w:r>
          </w:p>
        </w:tc>
        <w:tc>
          <w:tcPr>
            <w:tcW w:w="1632.96" w:type="dxa"/>
            <w:vAlign w:val="center"/>
          </w:tcPr>
          <w:p>
            <w:pPr>
              <w:jc w:val="both"/>
              <w:pStyle w:val="CellColumn"/>
            </w:pPr>
            <w:r>
              <w:rPr>
                <w:rFonts w:hAnsi="Times New Roman" w:cs="Times New Roman"/>
              </w:rPr>
              <w:t xml:space="preserve">69.500</w:t>
            </w:r>
          </w:p>
        </w:tc>
        <w:tc>
          <w:tcPr>
            <w:tcW w:w="510.3" w:type="dxa"/>
            <w:vAlign w:val="center"/>
          </w:tcPr>
          <w:p>
            <w:pPr>
              <w:jc w:val="both"/>
              <w:pStyle w:val="CellColumn"/>
            </w:pPr>
            <w:r>
              <w:rPr>
                <w:rFonts w:hAnsi="Times New Roman" w:cs="Times New Roman"/>
              </w:rPr>
              <w:t xml:space="preserve">157,0</w:t>
            </w:r>
          </w:p>
        </w:tc>
      </w:tr>
    </w:tbl>
    <w:p>
      <w:pPr>
        <w:jc w:val="left"/>
      </w:pPr>
      <w:r>
        <w:rPr>
          <w:rFonts w:hAnsi="Times New Roman" w:cs="Times New Roman"/>
        </w:rPr>
        <w:t xml:space="preserve"/>
      </w:r>
    </w:p>
    <w:p>
      <w:pPr>
        <w:jc w:val="both"/>
        <w:pStyle w:val="Normal"/>
      </w:pPr>
      <w:r>
        <w:rPr>
          <w:rFonts w:hAnsi="Times New Roman" w:cs="Times New Roman"/>
        </w:rPr>
        <w:t xml:space="preserve">Savjet za nacionalne manjine:  
</w:t>
      </w:r>
    </w:p>
    <w:p>
      <w:pPr>
        <w:jc w:val="both"/>
        <w:pStyle w:val="Normal"/>
      </w:pPr>
      <w:r>
        <w:rPr>
          <w:rFonts w:hAnsi="Times New Roman" w:cs="Times New Roman"/>
        </w:rPr>
        <w:t xml:space="preserve">- potiče i pruža financijsku potporu za ostvarivanje, razvoj, unapređivanje i povećanje kulturnih i informativno- izdavačkih programa udruga i ustanova, koje artikuliraju većinu djelatnosti manjinskih zajednica te izražavaju potrebu za očuvanjem etničkog, kulturnog i jezičnog identiteta, a istovremeno znače doprinos kulturnom, društvenom i gospodarskom razvitku Republike Hrvatske te njihovoj integraciji u hrvatsko društvo vodeći računa o broju pripadnika nacionalnih manjina, broju članova udruga i ustanova koje okupljaju, dužini djelovanja te dosadašnjem radu  
</w:t>
      </w:r>
    </w:p>
    <w:p>
      <w:pPr>
        <w:jc w:val="both"/>
        <w:pStyle w:val="Normal"/>
      </w:pPr>
      <w:r>
        <w:rPr>
          <w:rFonts w:hAnsi="Times New Roman" w:cs="Times New Roman"/>
        </w:rPr>
        <w:t xml:space="preserve">- održava i podiže dostignutu razinu ostvarivanja etničkih prava koja su značajna za pripadnike nacionalnih manjina  
</w:t>
      </w:r>
    </w:p>
    <w:p>
      <w:pPr>
        <w:jc w:val="both"/>
        <w:pStyle w:val="Normal"/>
      </w:pPr>
      <w:r>
        <w:rPr>
          <w:rFonts w:hAnsi="Times New Roman" w:cs="Times New Roman"/>
        </w:rPr>
        <w:t xml:space="preserve">- poklanja posebnu pozornost kulturnom amaterizmu i ustanovama kulture zbog njihove važnosti u očuvanju etničkog identiteta  
</w:t>
      </w:r>
    </w:p>
    <w:p>
      <w:pPr>
        <w:jc w:val="both"/>
        <w:pStyle w:val="Normal"/>
      </w:pPr>
      <w:r>
        <w:rPr>
          <w:rFonts w:hAnsi="Times New Roman" w:cs="Times New Roman"/>
        </w:rPr>
        <w:t xml:space="preserve">- podupire programe koji doprinose unapređivanju tolerancije i uspostavljanju multietničkog i multikulturalnog povjerenja  
</w:t>
      </w:r>
    </w:p>
    <w:p>
      <w:pPr>
        <w:jc w:val="both"/>
        <w:pStyle w:val="Normal"/>
      </w:pPr>
      <w:r>
        <w:rPr>
          <w:rFonts w:hAnsi="Times New Roman" w:cs="Times New Roman"/>
        </w:rPr>
        <w:t xml:space="preserve">- provodi zaključke i odredbe ugovora i sporazuma o zaštiti prava nacionalnih manjina kojih je potpisnik Republika Hrvatska.  
</w:t>
      </w:r>
    </w:p>
    <w:p>
      <w:pPr>
        <w:jc w:val="both"/>
        <w:pStyle w:val="Normal"/>
      </w:pPr>
      <w:r>
        <w:rPr>
          <w:rFonts w:hAnsi="Times New Roman" w:cs="Times New Roman"/>
        </w:rPr>
        <w:t xml:space="preserve"> 
</w:t>
      </w:r>
    </w:p>
    <w:p>
      <w:pPr>
        <w:jc w:val="both"/>
        <w:pStyle w:val="Normal"/>
      </w:pPr>
      <w:r>
        <w:rPr>
          <w:rFonts w:hAnsi="Times New Roman" w:cs="Times New Roman"/>
        </w:rPr>
        <w:t xml:space="preserve">U okviru aktivnosti A732005 Rad Savjeta za nacionalne manjine i skupini rashoda 32 Materijalni rashodi planirana su sredstva u iznosu 69.500,00 EUR za sve tri godine planiranja. Sredstva su planirana za naknade članovima Savjeta koji nisu saborski zastupnici i naknade za članove povjerenstva te za putne troškove članovima Savjeta za dolaske na sjednice Savjeta (66.300,00 EUR za svaku godinu planiranja). Na tematskim sjednicama Savjeta donosi se Odluka o rasporedu sredstava koja se u državnom proračunu osiguravaju za potrebe nacionalnih manjina (za programe kulturne autonomije udruga i ustanova nacionalnih manjina), prihvaća se Izvještaj o provođenju programa i utrošku sredstava te Izvještaj HRT-a o programima za nacionalne manjine, imenuje se Povjerenstvo za donošenje prijedloga Odluke o rasporedu i dr. Za potrebe održavanja sjednica, planirana su i sredstva za najam dvorana i reprezentaciju (3.000,00 EUR za svaku godinu planiranja).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održanih tematskih sjednica Savjeta</w:t>
            </w:r>
          </w:p>
        </w:tc>
        <w:tc>
          <w:tcPr>
            <w:tcW w:w="2245.32" w:type="dxa"/>
            <w:vAlign w:val="center"/>
          </w:tcPr>
          <w:p>
            <w:pPr>
              <w:jc w:val="both"/>
              <w:pStyle w:val="CellColumn"/>
            </w:pPr>
            <w:r>
              <w:rPr>
                <w:rFonts w:hAnsi="Times New Roman" w:cs="Times New Roman"/>
              </w:rPr>
              <w:t xml:space="preserve">Tematske sjednice Savjeta kontinuirano se održavaju u svrhu podupiranja integracije nacionalnih manjina u hrvatsko društvo</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Zapisnici sa sjednica; 
</w:t>
            </w:r>
          </w:p>
          <w:p>
            <w:pPr>
              <w:jc w:val="both"/>
              <w:pStyle w:val="CellColumn"/>
            </w:pPr>
            <w:r>
              <w:rPr>
                <w:rFonts w:hAnsi="Times New Roman" w:cs="Times New Roman"/>
              </w:rPr>
              <w:t xml:space="preserve">pozivi na sjednice</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5</w:t>
            </w:r>
          </w:p>
        </w:tc>
        <w:tc>
          <w:tcPr>
            <w:tcW w:w="918.54" w:type="dxa"/>
            <w:vAlign w:val="center"/>
          </w:tcPr>
          <w:p>
            <w:pPr>
              <w:jc w:val="both"/>
              <w:pStyle w:val="CellColumn"/>
            </w:pPr>
            <w:r>
              <w:rPr>
                <w:rFonts w:hAnsi="Times New Roman" w:cs="Times New Roman"/>
              </w:rPr>
              <w:t xml:space="preserve">5</w:t>
            </w:r>
          </w:p>
        </w:tc>
      </w:tr>
    </w:tbl>
    <w:p>
      <w:pPr>
        <w:jc w:val="left"/>
      </w:pPr>
      <w:r>
        <w:rPr>
          <w:rFonts w:hAnsi="Times New Roman" w:cs="Times New Roman"/>
        </w:rPr>
        <w:t xml:space="preserve"/>
      </w:r>
    </w:p>
    <w:p>
      <w:pPr>
        <w:jc w:val="left"/>
        <w:pStyle w:val="Heading4"/>
      </w:pPr>
      <w:r>
        <w:rPr>
          <w:rFonts w:hAnsi="Times New Roman" w:cs="Times New Roman"/>
        </w:rPr>
        <w:t xml:space="preserve">A732007 NORMATIVNO FINANCIRANJE UREDNIŠTVA NA MAĐARSKOM JEZIKU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Preporuka br. 45 Zapisnika sa XVII. sjednice Međuvladinog mješovitog odbora za zaštitu nacionalnih manjina između Republike Hrvatske i Mađarske, održane 9 travnja 2025. godine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A732007-NORMATIVNO FINANCIRANJE UREDNIŠTVA NA MAĐARSKOM JEZIKU</w:t>
            </w:r>
          </w:p>
        </w:tc>
        <w:tc>
          <w:tcPr>
            <w:tcW w:w="1632.96" w:type="dxa"/>
            <w:vAlign w:val="center"/>
          </w:tcPr>
          <w:p>
            <w:pPr>
              <w:jc w:val="both"/>
              <w:pStyle w:val="CellColumn"/>
            </w:pPr>
            <w:r>
              <w:rPr>
                <w:rFonts w:hAnsi="Times New Roman" w:cs="Times New Roman"/>
              </w:rPr>
              <w:t xml:space="preserve">200.002</w:t>
            </w:r>
          </w:p>
        </w:tc>
        <w:tc>
          <w:tcPr>
            <w:tcW w:w="1632.96" w:type="dxa"/>
            <w:vAlign w:val="center"/>
          </w:tcPr>
          <w:p>
            <w:pPr>
              <w:jc w:val="both"/>
              <w:pStyle w:val="CellColumn"/>
            </w:pPr>
            <w:r>
              <w:rPr>
                <w:rFonts w:hAnsi="Times New Roman" w:cs="Times New Roman"/>
              </w:rPr>
              <w:t xml:space="preserve">300.000</w:t>
            </w:r>
          </w:p>
        </w:tc>
        <w:tc>
          <w:tcPr>
            <w:tcW w:w="1632.96" w:type="dxa"/>
            <w:vAlign w:val="center"/>
          </w:tcPr>
          <w:p>
            <w:pPr>
              <w:jc w:val="both"/>
              <w:pStyle w:val="CellColumn"/>
            </w:pPr>
            <w:r>
              <w:rPr>
                <w:rFonts w:hAnsi="Times New Roman" w:cs="Times New Roman"/>
              </w:rPr>
              <w:t xml:space="preserve">500.000</w:t>
            </w:r>
          </w:p>
        </w:tc>
        <w:tc>
          <w:tcPr>
            <w:tcW w:w="1632.96" w:type="dxa"/>
            <w:vAlign w:val="center"/>
          </w:tcPr>
          <w:p>
            <w:pPr>
              <w:jc w:val="both"/>
              <w:pStyle w:val="CellColumn"/>
            </w:pPr>
            <w:r>
              <w:rPr>
                <w:rFonts w:hAnsi="Times New Roman" w:cs="Times New Roman"/>
              </w:rPr>
              <w:t xml:space="preserve">500.000</w:t>
            </w:r>
          </w:p>
        </w:tc>
        <w:tc>
          <w:tcPr>
            <w:tcW w:w="1632.96" w:type="dxa"/>
            <w:vAlign w:val="center"/>
          </w:tcPr>
          <w:p>
            <w:pPr>
              <w:jc w:val="both"/>
              <w:pStyle w:val="CellColumn"/>
            </w:pPr>
            <w:r>
              <w:rPr>
                <w:rFonts w:hAnsi="Times New Roman" w:cs="Times New Roman"/>
              </w:rPr>
              <w:t xml:space="preserve">500.000</w:t>
            </w:r>
          </w:p>
        </w:tc>
        <w:tc>
          <w:tcPr>
            <w:tcW w:w="510.3" w:type="dxa"/>
            <w:vAlign w:val="center"/>
          </w:tcPr>
          <w:p>
            <w:pPr>
              <w:jc w:val="both"/>
              <w:pStyle w:val="CellColumn"/>
            </w:pPr>
            <w:r>
              <w:rPr>
                <w:rFonts w:hAnsi="Times New Roman" w:cs="Times New Roman"/>
              </w:rPr>
              <w:t xml:space="preserve">166,7</w:t>
            </w:r>
          </w:p>
        </w:tc>
      </w:tr>
    </w:tbl>
    <w:p>
      <w:pPr>
        <w:jc w:val="left"/>
      </w:pPr>
      <w:r>
        <w:rPr>
          <w:rFonts w:hAnsi="Times New Roman" w:cs="Times New Roman"/>
        </w:rPr>
        <w:t xml:space="preserve"/>
      </w:r>
    </w:p>
    <w:p>
      <w:pPr>
        <w:jc w:val="both"/>
        <w:pStyle w:val="Normal"/>
      </w:pPr>
      <w:r>
        <w:rPr>
          <w:rFonts w:hAnsi="Times New Roman" w:cs="Times New Roman"/>
        </w:rPr>
        <w:t xml:space="preserve">U okviru aktivnosti A732007 Normativno financiranje uredništva na mađarskom jeziku i skupini rashoda 38 Rashodi za donacije, kazne, naknade šteta i kapitalne pomoći planirana su sredstva u iznosu 500.000,00 EUR za svaku godinu planiranja temeljem preporuke broj 45 Zapisnika sa XVII. sjednice Međuvladinog mješovitog odbora za zaštitu nacionalnih manjina između Republike Hrvatske i Mađarske, održane 9 travnja 2025. godine. Obavezu provodi krovna udruga mađarske nacionalne manjine u RH – Demokratska zajednica Mađara Hrvatske, Bilje.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ugovora s Demokratskom zajednicom Mađara Hrvatske</w:t>
            </w:r>
          </w:p>
        </w:tc>
        <w:tc>
          <w:tcPr>
            <w:tcW w:w="2245.32" w:type="dxa"/>
            <w:vAlign w:val="center"/>
          </w:tcPr>
          <w:p>
            <w:pPr>
              <w:jc w:val="both"/>
              <w:pStyle w:val="CellColumn"/>
            </w:pPr>
            <w:r>
              <w:rPr>
                <w:rFonts w:hAnsi="Times New Roman" w:cs="Times New Roman"/>
              </w:rPr>
              <w:t xml:space="preserve">Za potrebe uredništva na mađarskom jeziku osiguravaju se pretpostavke za rad</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Ugovor</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bl>
    <w:p>
      <w:pPr>
        <w:jc w:val="left"/>
      </w:pPr>
      <w:r>
        <w:rPr>
          <w:rFonts w:hAnsi="Times New Roman" w:cs="Times New Roman"/>
        </w:rPr>
        <w:t xml:space="preserve"/>
      </w:r>
    </w:p>
    <w:p>
      <w:pPr>
        <w:jc w:val="left"/>
        <w:pStyle w:val="Heading4"/>
      </w:pPr>
      <w:r>
        <w:rPr>
          <w:rFonts w:hAnsi="Times New Roman" w:cs="Times New Roman"/>
        </w:rPr>
        <w:t xml:space="preserve">K732001 INFORMATIZACIJA STRUČNE SLUŽBE SAVJETA ZA NACIONALNE MANJINE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Uredba o Stručnoj službi Savjeta za nacionalne manjine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K732001-INFORMATIZACIJA STRUČNE SLUŽBE SAVJETA ZA NACIONALNE MANJINE</w:t>
            </w:r>
          </w:p>
        </w:tc>
        <w:tc>
          <w:tcPr>
            <w:tcW w:w="1632.96" w:type="dxa"/>
            <w:vAlign w:val="center"/>
          </w:tcPr>
          <w:p>
            <w:pPr>
              <w:jc w:val="both"/>
              <w:pStyle w:val="CellColumn"/>
            </w:pPr>
            <w:r>
              <w:rPr>
                <w:rFonts w:hAnsi="Times New Roman" w:cs="Times New Roman"/>
              </w:rPr>
              <w:t xml:space="preserve">4.383</w:t>
            </w:r>
          </w:p>
        </w:tc>
        <w:tc>
          <w:tcPr>
            <w:tcW w:w="1632.96" w:type="dxa"/>
            <w:vAlign w:val="center"/>
          </w:tcPr>
          <w:p>
            <w:pPr>
              <w:jc w:val="both"/>
              <w:pStyle w:val="CellColumn"/>
            </w:pPr>
            <w:r>
              <w:rPr>
                <w:rFonts w:hAnsi="Times New Roman" w:cs="Times New Roman"/>
              </w:rPr>
              <w:t xml:space="preserve">16.500</w:t>
            </w:r>
          </w:p>
        </w:tc>
        <w:tc>
          <w:tcPr>
            <w:tcW w:w="1632.96" w:type="dxa"/>
            <w:vAlign w:val="center"/>
          </w:tcPr>
          <w:p>
            <w:pPr>
              <w:jc w:val="both"/>
              <w:pStyle w:val="CellColumn"/>
            </w:pPr>
            <w:r>
              <w:rPr>
                <w:rFonts w:hAnsi="Times New Roman" w:cs="Times New Roman"/>
              </w:rPr>
              <w:t xml:space="preserve">15.000</w:t>
            </w:r>
          </w:p>
        </w:tc>
        <w:tc>
          <w:tcPr>
            <w:tcW w:w="1632.96" w:type="dxa"/>
            <w:vAlign w:val="center"/>
          </w:tcPr>
          <w:p>
            <w:pPr>
              <w:jc w:val="both"/>
              <w:pStyle w:val="CellColumn"/>
            </w:pPr>
            <w:r>
              <w:rPr>
                <w:rFonts w:hAnsi="Times New Roman" w:cs="Times New Roman"/>
              </w:rPr>
              <w:t xml:space="preserve">13.000</w:t>
            </w:r>
          </w:p>
        </w:tc>
        <w:tc>
          <w:tcPr>
            <w:tcW w:w="1632.96" w:type="dxa"/>
            <w:vAlign w:val="center"/>
          </w:tcPr>
          <w:p>
            <w:pPr>
              <w:jc w:val="both"/>
              <w:pStyle w:val="CellColumn"/>
            </w:pPr>
            <w:r>
              <w:rPr>
                <w:rFonts w:hAnsi="Times New Roman" w:cs="Times New Roman"/>
              </w:rPr>
              <w:t xml:space="preserve">13.000</w:t>
            </w:r>
          </w:p>
        </w:tc>
        <w:tc>
          <w:tcPr>
            <w:tcW w:w="510.3" w:type="dxa"/>
            <w:vAlign w:val="center"/>
          </w:tcPr>
          <w:p>
            <w:pPr>
              <w:jc w:val="both"/>
              <w:pStyle w:val="CellColumn"/>
            </w:pPr>
            <w:r>
              <w:rPr>
                <w:rFonts w:hAnsi="Times New Roman" w:cs="Times New Roman"/>
              </w:rPr>
              <w:t xml:space="preserve">90,9</w:t>
            </w:r>
          </w:p>
        </w:tc>
      </w:tr>
    </w:tbl>
    <w:p>
      <w:pPr>
        <w:jc w:val="left"/>
      </w:pPr>
      <w:r>
        <w:rPr>
          <w:rFonts w:hAnsi="Times New Roman" w:cs="Times New Roman"/>
        </w:rPr>
        <w:t xml:space="preserve"/>
      </w:r>
    </w:p>
    <w:p>
      <w:pPr>
        <w:jc w:val="both"/>
        <w:pStyle w:val="Normal"/>
      </w:pPr>
      <w:r>
        <w:rPr>
          <w:rFonts w:hAnsi="Times New Roman" w:cs="Times New Roman"/>
        </w:rPr>
        <w:t xml:space="preserve">U okviru kapitalnog projekta K732001 Informatizacija Stručne službe Savjeta za nacionalne manjine planirana su sredstva u iznosu 15.000,00 EUR za 2026. godinu te po 13.000,00 EUR za 2027. i 2028. godinu.  
</w:t>
      </w:r>
    </w:p>
    <w:p>
      <w:pPr>
        <w:jc w:val="both"/>
        <w:pStyle w:val="Normal"/>
      </w:pPr>
      <w:r>
        <w:rPr>
          <w:rFonts w:hAnsi="Times New Roman" w:cs="Times New Roman"/>
        </w:rPr>
        <w:t xml:space="preserve">U nastavku dajemo razradu planiranih sredstava po skupinama rashoda kako slijedi:  
</w:t>
      </w:r>
    </w:p>
    <w:p>
      <w:pPr>
        <w:jc w:val="both"/>
        <w:pStyle w:val="Normal"/>
      </w:pPr>
      <w:r>
        <w:rPr>
          <w:rFonts w:hAnsi="Times New Roman" w:cs="Times New Roman"/>
        </w:rPr>
        <w:t xml:space="preserve">32 Materijalni rashodi  
</w:t>
      </w:r>
    </w:p>
    <w:p>
      <w:pPr>
        <w:jc w:val="both"/>
        <w:pStyle w:val="Normal"/>
      </w:pPr>
      <w:r>
        <w:rPr>
          <w:rFonts w:hAnsi="Times New Roman" w:cs="Times New Roman"/>
        </w:rPr>
        <w:t xml:space="preserve">Planirana su sredstva u iznosu 7.000,00 EUR za sve tri godine planiranja. Sredstva su planirana za Microsoft i antivirus licence.  
</w:t>
      </w:r>
    </w:p>
    <w:p>
      <w:pPr>
        <w:jc w:val="both"/>
        <w:pStyle w:val="Normal"/>
      </w:pPr>
      <w:r>
        <w:rPr>
          <w:rFonts w:hAnsi="Times New Roman" w:cs="Times New Roman"/>
        </w:rPr>
        <w:t xml:space="preserve">41 Rashodi za nabavu neproizvedene dugotrajne imovine  
</w:t>
      </w:r>
    </w:p>
    <w:p>
      <w:pPr>
        <w:jc w:val="both"/>
        <w:pStyle w:val="Normal"/>
      </w:pPr>
      <w:r>
        <w:rPr>
          <w:rFonts w:hAnsi="Times New Roman" w:cs="Times New Roman"/>
        </w:rPr>
        <w:t xml:space="preserve">Planirana su sredstva u iznosu 2.000,00 EUR za 2028. godinu. Sredstva su planirana za nabavu trogodišnjih licenci za Abbyy računalni program. 
</w:t>
      </w:r>
    </w:p>
    <w:p>
      <w:pPr>
        <w:jc w:val="both"/>
        <w:pStyle w:val="Normal"/>
      </w:pPr>
      <w:r>
        <w:rPr>
          <w:rFonts w:hAnsi="Times New Roman" w:cs="Times New Roman"/>
        </w:rPr>
        <w:t xml:space="preserve">42 Rashodi za nabavu proizvedene dugotrajne imovine  
</w:t>
      </w:r>
    </w:p>
    <w:p>
      <w:pPr>
        <w:jc w:val="both"/>
        <w:pStyle w:val="Normal"/>
      </w:pPr>
      <w:r>
        <w:rPr>
          <w:rFonts w:hAnsi="Times New Roman" w:cs="Times New Roman"/>
        </w:rPr>
        <w:t xml:space="preserve">Planirana su sredstva u iznosu 8.000,00 EUR za 2026. godinu, 6.000,00 EUR za 2027. godinu te 4.000,00 EUR za 2028. godinu. Sredstva su planirana za nabavu laptopa za službenike (2 u 2026. godini i 1 u 2027. godini) te obnovu računalne opreme na temelju pregleda postojećeg stanja i utvrđivanja dotrajalosti.</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45" w:rsidRDefault="007A7E45" w:rsidP="00F352E6">
      <w:r>
        <w:separator/>
      </w:r>
    </w:p>
  </w:endnote>
  <w:endnote w:type="continuationSeparator" w:id="0">
    <w:p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FE4B89"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45" w:rsidRDefault="007A7E45" w:rsidP="00F352E6">
      <w:r>
        <w:separator/>
      </w:r>
    </w:p>
  </w:footnote>
  <w:footnote w:type="continuationSeparator" w:id="0">
    <w:p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FE4B89"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Anita Marasović</cp:lastModifiedBy>
  <cp:revision>14</cp:revision>
  <dcterms:created xsi:type="dcterms:W3CDTF">2016-10-28T08:23:00Z</dcterms:created>
  <dcterms:modified xsi:type="dcterms:W3CDTF">2016-11-09T08:08:00Z</dcterms:modified>
</cp:coreProperties>
</file>